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EEECE1"/>
  <w:body>
    <w:p>
      <w:pPr>
        <w:spacing w:line="760" w:lineRule="exact"/>
        <w:jc w:val="both"/>
        <w:rPr>
          <w:rFonts w:hint="eastAsia" w:ascii="楷体_GB2312" w:hAnsi="宋体" w:eastAsia="楷体_GB2312"/>
          <w:b/>
          <w:sz w:val="32"/>
          <w:szCs w:val="32"/>
          <w:lang w:eastAsia="zh-CN"/>
        </w:rPr>
      </w:pPr>
    </w:p>
    <w:p>
      <w:pPr>
        <w:spacing w:line="760" w:lineRule="exact"/>
        <w:jc w:val="center"/>
        <w:rPr>
          <w:rFonts w:hint="eastAsia" w:ascii="楷体_GB2312" w:hAnsi="宋体" w:eastAsia="楷体_GB2312"/>
          <w:b/>
          <w:sz w:val="32"/>
          <w:szCs w:val="32"/>
          <w:lang w:eastAsia="zh-CN"/>
        </w:rPr>
      </w:pPr>
      <w:r>
        <w:rPr>
          <w:rFonts w:hint="eastAsia" w:ascii="楷体_GB2312" w:hAnsi="宋体" w:eastAsia="楷体_GB2312"/>
          <w:b/>
          <w:sz w:val="32"/>
          <w:szCs w:val="32"/>
          <w:lang w:val="en-US" w:eastAsia="zh-CN"/>
        </w:rPr>
        <w:t>云溪区就业服务中心2022年度就业补助资金</w:t>
      </w:r>
    </w:p>
    <w:p>
      <w:pPr>
        <w:spacing w:line="1200" w:lineRule="exact"/>
        <w:ind w:firstLine="1027" w:firstLineChars="100"/>
        <w:rPr>
          <w:rFonts w:hint="eastAsia" w:ascii="楷体_GB2312" w:hAnsi="宋体" w:eastAsia="楷体_GB2312"/>
          <w:b/>
          <w:bCs/>
          <w:spacing w:val="152"/>
          <w:sz w:val="72"/>
          <w:szCs w:val="72"/>
        </w:rPr>
      </w:pPr>
      <w:r>
        <w:rPr>
          <w:rFonts w:hint="eastAsia" w:ascii="楷体_GB2312" w:hAnsi="宋体" w:eastAsia="楷体_GB2312"/>
          <w:b/>
          <w:bCs/>
          <w:spacing w:val="152"/>
          <w:sz w:val="72"/>
          <w:szCs w:val="72"/>
        </w:rPr>
        <w:t>绩效评价报告书</w:t>
      </w:r>
    </w:p>
    <w:p>
      <w:pPr>
        <w:spacing w:line="760" w:lineRule="exact"/>
        <w:jc w:val="center"/>
        <w:outlineLvl w:val="0"/>
        <w:rPr>
          <w:rFonts w:hint="eastAsia" w:ascii="楷体_GB2312" w:hAnsi="宋体" w:eastAsia="楷体_GB2312"/>
          <w:b/>
          <w:bCs/>
          <w:sz w:val="32"/>
          <w:szCs w:val="32"/>
          <w:lang w:eastAsia="zh-CN"/>
        </w:rPr>
      </w:pPr>
      <w:r>
        <w:rPr>
          <w:rFonts w:hint="eastAsia" w:ascii="楷体_GB2312" w:hAnsi="宋体" w:eastAsia="楷体_GB2312"/>
          <w:b/>
          <w:bCs/>
          <w:sz w:val="32"/>
          <w:szCs w:val="32"/>
        </w:rPr>
        <w:t xml:space="preserve">  </w:t>
      </w:r>
      <w:r>
        <w:rPr>
          <w:rFonts w:hint="eastAsia" w:ascii="楷体_GB2312" w:hAnsi="宋体" w:eastAsia="楷体_GB2312"/>
          <w:b/>
          <w:bCs/>
          <w:sz w:val="32"/>
          <w:szCs w:val="32"/>
          <w:lang w:eastAsia="zh-CN"/>
        </w:rPr>
        <w:t>湘公会司</w:t>
      </w:r>
      <w:r>
        <w:rPr>
          <w:rFonts w:hint="eastAsia" w:ascii="楷体_GB2312" w:hAnsi="宋体" w:eastAsia="楷体_GB2312"/>
          <w:b/>
          <w:bCs/>
          <w:sz w:val="32"/>
          <w:szCs w:val="32"/>
          <w:highlight w:val="none"/>
          <w:lang w:eastAsia="zh-CN"/>
        </w:rPr>
        <w:t>（</w:t>
      </w:r>
      <w:r>
        <w:rPr>
          <w:rFonts w:hint="eastAsia" w:ascii="楷体_GB2312" w:hAnsi="宋体" w:eastAsia="楷体_GB2312"/>
          <w:b/>
          <w:bCs/>
          <w:sz w:val="32"/>
          <w:szCs w:val="32"/>
          <w:highlight w:val="none"/>
          <w:lang w:val="en-US" w:eastAsia="zh-CN"/>
        </w:rPr>
        <w:t>绩）</w:t>
      </w:r>
      <w:r>
        <w:rPr>
          <w:rFonts w:hint="eastAsia" w:ascii="楷体_GB2312" w:hAnsi="宋体" w:eastAsia="楷体_GB2312"/>
          <w:b/>
          <w:bCs/>
          <w:sz w:val="32"/>
          <w:szCs w:val="32"/>
          <w:highlight w:val="none"/>
          <w:lang w:eastAsia="zh-CN"/>
        </w:rPr>
        <w:t>字[2023]第</w:t>
      </w:r>
      <w:r>
        <w:rPr>
          <w:rFonts w:hint="eastAsia" w:ascii="楷体_GB2312" w:hAnsi="宋体" w:eastAsia="楷体_GB2312"/>
          <w:b/>
          <w:bCs/>
          <w:sz w:val="32"/>
          <w:szCs w:val="32"/>
          <w:highlight w:val="none"/>
          <w:lang w:val="en-US" w:eastAsia="zh-CN"/>
        </w:rPr>
        <w:t>009</w:t>
      </w:r>
      <w:r>
        <w:rPr>
          <w:rFonts w:hint="eastAsia" w:ascii="楷体_GB2312" w:hAnsi="宋体" w:eastAsia="楷体_GB2312"/>
          <w:b/>
          <w:bCs/>
          <w:sz w:val="32"/>
          <w:szCs w:val="32"/>
          <w:lang w:eastAsia="zh-CN"/>
        </w:rPr>
        <w:t>号</w:t>
      </w:r>
    </w:p>
    <w:p>
      <w:pPr>
        <w:spacing w:line="760" w:lineRule="exact"/>
        <w:jc w:val="center"/>
        <w:rPr>
          <w:rFonts w:hint="eastAsia" w:ascii="楷体_GB2312" w:hAnsi="宋体" w:eastAsia="楷体_GB2312"/>
          <w:b/>
          <w:bCs/>
        </w:rPr>
      </w:pPr>
    </w:p>
    <w:p>
      <w:pPr>
        <w:spacing w:line="760" w:lineRule="exact"/>
        <w:jc w:val="center"/>
        <w:rPr>
          <w:rFonts w:hint="eastAsia" w:ascii="楷体_GB2312" w:hAnsi="宋体" w:eastAsia="楷体_GB2312"/>
          <w:b/>
          <w:bCs/>
        </w:rPr>
      </w:pPr>
    </w:p>
    <w:p>
      <w:pPr>
        <w:spacing w:line="760" w:lineRule="exact"/>
        <w:jc w:val="center"/>
        <w:rPr>
          <w:rFonts w:hint="eastAsia" w:ascii="楷体_GB2312" w:hAnsi="宋体" w:eastAsia="楷体_GB2312"/>
          <w:b/>
          <w:bCs/>
        </w:rPr>
      </w:pPr>
      <w:bookmarkStart w:id="0" w:name="_GoBack"/>
      <w:bookmarkEnd w:id="0"/>
    </w:p>
    <w:p>
      <w:pPr>
        <w:spacing w:line="760" w:lineRule="exact"/>
        <w:rPr>
          <w:rFonts w:hint="eastAsia" w:ascii="楷体_GB2312" w:hAnsi="宋体" w:eastAsia="楷体_GB2312"/>
          <w:b/>
          <w:bCs/>
        </w:rPr>
      </w:pPr>
    </w:p>
    <w:p>
      <w:pPr>
        <w:spacing w:line="760" w:lineRule="exact"/>
        <w:rPr>
          <w:rFonts w:hint="eastAsia" w:ascii="楷体_GB2312" w:hAnsi="宋体" w:eastAsia="楷体_GB2312"/>
          <w:b/>
          <w:bCs/>
        </w:rPr>
      </w:pPr>
    </w:p>
    <w:p>
      <w:pPr>
        <w:spacing w:line="760" w:lineRule="exact"/>
        <w:rPr>
          <w:rFonts w:hint="eastAsia" w:ascii="楷体_GB2312" w:hAnsi="宋体" w:eastAsia="楷体_GB2312"/>
          <w:b/>
          <w:bCs/>
        </w:rPr>
      </w:pPr>
    </w:p>
    <w:p>
      <w:pPr>
        <w:spacing w:line="760" w:lineRule="exact"/>
        <w:rPr>
          <w:rFonts w:hint="eastAsia" w:ascii="楷体_GB2312" w:hAnsi="宋体" w:eastAsia="楷体_GB2312"/>
          <w:b/>
          <w:bCs/>
        </w:rPr>
      </w:pPr>
    </w:p>
    <w:p>
      <w:pPr>
        <w:spacing w:line="760" w:lineRule="exact"/>
        <w:rPr>
          <w:rFonts w:hint="eastAsia" w:ascii="楷体_GB2312" w:hAnsi="宋体" w:eastAsia="楷体_GB2312"/>
          <w:b/>
          <w:bCs/>
        </w:rPr>
      </w:pPr>
    </w:p>
    <w:p>
      <w:pPr>
        <w:spacing w:line="760" w:lineRule="exact"/>
        <w:rPr>
          <w:rFonts w:hint="eastAsia" w:ascii="楷体_GB2312" w:hAnsi="宋体" w:eastAsia="楷体_GB2312"/>
          <w:b/>
          <w:bCs/>
        </w:rPr>
      </w:pPr>
    </w:p>
    <w:p>
      <w:pPr>
        <w:spacing w:line="760" w:lineRule="exact"/>
        <w:ind w:firstLine="2006" w:firstLineChars="500"/>
        <w:jc w:val="both"/>
        <w:outlineLvl w:val="0"/>
        <w:rPr>
          <w:rFonts w:hint="eastAsia" w:ascii="楷体_GB2312" w:hAnsi="宋体" w:eastAsia="楷体_GB2312"/>
          <w:b/>
          <w:bCs/>
          <w:spacing w:val="40"/>
          <w:sz w:val="32"/>
          <w:szCs w:val="32"/>
        </w:rPr>
      </w:pPr>
    </w:p>
    <w:p>
      <w:pPr>
        <w:spacing w:line="760" w:lineRule="exact"/>
        <w:ind w:firstLine="2006" w:firstLineChars="500"/>
        <w:jc w:val="both"/>
        <w:outlineLvl w:val="0"/>
        <w:rPr>
          <w:rFonts w:hint="eastAsia" w:ascii="楷体_GB2312" w:hAnsi="宋体" w:eastAsia="楷体_GB2312"/>
          <w:b/>
          <w:bCs/>
          <w:spacing w:val="40"/>
          <w:sz w:val="32"/>
          <w:szCs w:val="32"/>
        </w:rPr>
      </w:pPr>
    </w:p>
    <w:p>
      <w:pPr>
        <w:spacing w:line="760" w:lineRule="exact"/>
        <w:ind w:firstLine="2006" w:firstLineChars="500"/>
        <w:jc w:val="both"/>
        <w:outlineLvl w:val="0"/>
        <w:rPr>
          <w:rFonts w:hint="eastAsia" w:ascii="楷体_GB2312" w:hAnsi="宋体" w:eastAsia="楷体_GB2312"/>
          <w:b/>
          <w:bCs/>
          <w:spacing w:val="40"/>
          <w:sz w:val="32"/>
          <w:szCs w:val="32"/>
          <w:lang w:eastAsia="zh-CN"/>
        </w:rPr>
      </w:pPr>
      <w:r>
        <w:rPr>
          <w:rFonts w:hint="eastAsia" w:ascii="楷体_GB2312" w:hAnsi="宋体" w:eastAsia="楷体_GB2312"/>
          <w:b/>
          <w:bCs/>
          <w:spacing w:val="40"/>
          <w:sz w:val="32"/>
          <w:szCs w:val="32"/>
          <w:lang w:eastAsia="zh-CN"/>
        </w:rPr>
        <w:t>湖南公众会计师事务所有限公司</w:t>
      </w:r>
    </w:p>
    <w:p>
      <w:pPr>
        <w:spacing w:line="760" w:lineRule="exact"/>
        <w:jc w:val="center"/>
        <w:rPr>
          <w:rFonts w:hint="eastAsia" w:ascii="楷体_GB2312" w:hAnsi="宋体" w:eastAsia="楷体_GB2312"/>
          <w:b/>
          <w:bCs/>
          <w:sz w:val="32"/>
          <w:szCs w:val="32"/>
          <w:lang w:eastAsia="zh-CN"/>
        </w:rPr>
      </w:pPr>
      <w:r>
        <w:rPr>
          <w:rFonts w:hint="eastAsia" w:ascii="楷体_GB2312" w:hAnsi="宋体" w:eastAsia="楷体_GB2312"/>
          <w:b/>
          <w:bCs/>
          <w:sz w:val="32"/>
          <w:szCs w:val="32"/>
        </w:rPr>
        <w:t xml:space="preserve">  </w:t>
      </w:r>
      <w:r>
        <w:rPr>
          <w:rFonts w:hint="eastAsia" w:ascii="楷体_GB2312" w:hAnsi="宋体" w:eastAsia="楷体_GB2312"/>
          <w:b/>
          <w:bCs/>
          <w:sz w:val="32"/>
          <w:szCs w:val="32"/>
          <w:lang w:eastAsia="zh-CN"/>
        </w:rPr>
        <w:t>二〇二</w:t>
      </w:r>
      <w:r>
        <w:rPr>
          <w:rFonts w:hint="eastAsia" w:ascii="楷体_GB2312" w:hAnsi="宋体" w:eastAsia="楷体_GB2312"/>
          <w:b/>
          <w:bCs/>
          <w:sz w:val="32"/>
          <w:szCs w:val="32"/>
          <w:lang w:val="en-US" w:eastAsia="zh-CN"/>
        </w:rPr>
        <w:t>三</w:t>
      </w:r>
      <w:r>
        <w:rPr>
          <w:rFonts w:hint="eastAsia" w:ascii="楷体_GB2312" w:hAnsi="宋体" w:eastAsia="楷体_GB2312"/>
          <w:b/>
          <w:bCs/>
          <w:sz w:val="32"/>
          <w:szCs w:val="32"/>
          <w:lang w:eastAsia="zh-CN"/>
        </w:rPr>
        <w:t>年</w:t>
      </w:r>
      <w:r>
        <w:rPr>
          <w:rFonts w:hint="eastAsia" w:ascii="楷体_GB2312" w:hAnsi="宋体" w:eastAsia="楷体_GB2312"/>
          <w:b/>
          <w:bCs/>
          <w:sz w:val="32"/>
          <w:szCs w:val="32"/>
          <w:lang w:val="en-US" w:eastAsia="zh-CN"/>
        </w:rPr>
        <w:t>八</w:t>
      </w:r>
      <w:r>
        <w:rPr>
          <w:rFonts w:hint="eastAsia" w:ascii="楷体_GB2312" w:hAnsi="宋体" w:eastAsia="楷体_GB2312"/>
          <w:b/>
          <w:bCs/>
          <w:sz w:val="32"/>
          <w:szCs w:val="32"/>
          <w:lang w:eastAsia="zh-CN"/>
        </w:rPr>
        <w:t>月</w:t>
      </w:r>
    </w:p>
    <w:p>
      <w:pPr>
        <w:spacing w:line="800" w:lineRule="exact"/>
        <w:ind w:firstLine="1066" w:firstLineChars="295"/>
        <w:rPr>
          <w:rFonts w:hint="eastAsia" w:ascii="黑体" w:hAnsi="黑体" w:eastAsia="黑体"/>
          <w:b/>
          <w:bCs/>
          <w:sz w:val="36"/>
          <w:szCs w:val="36"/>
        </w:rPr>
        <w:sectPr>
          <w:headerReference r:id="rId4" w:type="first"/>
          <w:footerReference r:id="rId5" w:type="first"/>
          <w:headerReference r:id="rId3" w:type="default"/>
          <w:pgSz w:w="11906" w:h="16838"/>
          <w:pgMar w:top="1440" w:right="1644" w:bottom="1247" w:left="1644" w:header="851" w:footer="992" w:gutter="0"/>
          <w:pgNumType w:fmt="decimal"/>
          <w:cols w:space="720" w:num="1"/>
          <w:titlePg/>
          <w:docGrid w:type="lines" w:linePitch="312" w:charSpace="0"/>
        </w:sectPr>
      </w:pPr>
    </w:p>
    <w:p>
      <w:pPr>
        <w:spacing w:line="800" w:lineRule="exact"/>
        <w:ind w:firstLine="964" w:firstLineChars="300"/>
        <w:rPr>
          <w:rFonts w:hint="eastAsia" w:ascii="楷体_GB2312" w:hAnsi="宋体" w:eastAsia="楷体_GB2312"/>
          <w:b/>
          <w:sz w:val="32"/>
          <w:szCs w:val="32"/>
          <w:lang w:val="en-US" w:eastAsia="zh-CN"/>
        </w:rPr>
      </w:pPr>
      <w:r>
        <w:rPr>
          <w:rFonts w:hint="eastAsia" w:ascii="楷体_GB2312" w:hAnsi="宋体" w:eastAsia="楷体_GB2312"/>
          <w:b/>
          <w:sz w:val="32"/>
          <w:szCs w:val="32"/>
          <w:lang w:val="en-US" w:eastAsia="zh-CN"/>
        </w:rPr>
        <w:t>云溪区就业服务中心</w:t>
      </w:r>
      <w:r>
        <w:rPr>
          <w:rFonts w:hint="eastAsia" w:ascii="楷体_GB2312" w:hAnsi="宋体" w:eastAsia="楷体_GB2312"/>
          <w:b/>
          <w:sz w:val="32"/>
          <w:szCs w:val="32"/>
          <w:lang w:eastAsia="zh-CN"/>
        </w:rPr>
        <w:t>2022年度就业补助资金</w:t>
      </w:r>
    </w:p>
    <w:p>
      <w:pPr>
        <w:spacing w:line="800" w:lineRule="exact"/>
        <w:ind w:firstLine="2891" w:firstLineChars="800"/>
        <w:rPr>
          <w:rFonts w:hint="eastAsia" w:ascii="楷体" w:hAnsi="楷体" w:eastAsia="楷体" w:cs="楷体"/>
          <w:b/>
          <w:bCs/>
          <w:sz w:val="36"/>
          <w:szCs w:val="36"/>
        </w:rPr>
      </w:pPr>
      <w:r>
        <w:rPr>
          <w:rFonts w:hint="eastAsia" w:ascii="楷体" w:hAnsi="楷体" w:eastAsia="楷体" w:cs="楷体"/>
          <w:b/>
          <w:bCs/>
          <w:sz w:val="36"/>
          <w:szCs w:val="36"/>
          <w:lang w:eastAsia="zh-CN"/>
        </w:rPr>
        <w:t>重点</w:t>
      </w:r>
      <w:r>
        <w:rPr>
          <w:rFonts w:hint="eastAsia" w:ascii="楷体" w:hAnsi="楷体" w:eastAsia="楷体" w:cs="楷体"/>
          <w:b/>
          <w:bCs/>
          <w:sz w:val="36"/>
          <w:szCs w:val="36"/>
        </w:rPr>
        <w:t>绩效评价报告</w:t>
      </w:r>
    </w:p>
    <w:p>
      <w:pPr>
        <w:spacing w:line="800" w:lineRule="exact"/>
        <w:rPr>
          <w:rFonts w:hint="eastAsia" w:ascii="楷体" w:hAnsi="楷体" w:eastAsia="楷体" w:cs="楷体"/>
          <w:b/>
          <w:sz w:val="36"/>
          <w:szCs w:val="36"/>
        </w:rPr>
      </w:pPr>
    </w:p>
    <w:p>
      <w:pPr>
        <w:spacing w:line="800" w:lineRule="exact"/>
        <w:ind w:firstLine="1205" w:firstLineChars="400"/>
        <w:rPr>
          <w:rFonts w:hint="eastAsia" w:ascii="楷体" w:hAnsi="楷体" w:eastAsia="楷体" w:cs="楷体"/>
          <w:b/>
          <w:bCs w:val="0"/>
          <w:sz w:val="30"/>
          <w:szCs w:val="30"/>
        </w:rPr>
      </w:pPr>
    </w:p>
    <w:p>
      <w:pPr>
        <w:spacing w:line="800" w:lineRule="exact"/>
        <w:ind w:firstLine="1488" w:firstLineChars="494"/>
        <w:rPr>
          <w:rFonts w:hint="eastAsia" w:ascii="楷体" w:hAnsi="楷体" w:eastAsia="楷体" w:cs="楷体"/>
          <w:b/>
          <w:bCs w:val="0"/>
          <w:sz w:val="30"/>
          <w:szCs w:val="30"/>
          <w:lang w:eastAsia="zh-CN"/>
        </w:rPr>
      </w:pPr>
      <w:r>
        <w:rPr>
          <w:rFonts w:hint="eastAsia" w:ascii="楷体" w:hAnsi="楷体" w:eastAsia="楷体" w:cs="楷体"/>
          <w:b/>
          <w:bCs w:val="0"/>
          <w:sz w:val="30"/>
          <w:szCs w:val="30"/>
        </w:rPr>
        <w:t xml:space="preserve">项目名称 </w:t>
      </w:r>
      <w:r>
        <w:rPr>
          <w:rFonts w:hint="eastAsia" w:ascii="楷体" w:hAnsi="楷体" w:eastAsia="楷体" w:cs="楷体"/>
          <w:b/>
          <w:bCs w:val="0"/>
          <w:sz w:val="30"/>
          <w:szCs w:val="30"/>
          <w:lang w:val="en-US" w:eastAsia="zh-CN"/>
        </w:rPr>
        <w:t xml:space="preserve">  2022年度就业补助资金</w:t>
      </w:r>
    </w:p>
    <w:p>
      <w:pPr>
        <w:spacing w:line="800" w:lineRule="exact"/>
        <w:ind w:firstLine="1488" w:firstLineChars="494"/>
        <w:rPr>
          <w:rFonts w:hint="eastAsia" w:ascii="楷体" w:hAnsi="楷体" w:eastAsia="楷体" w:cs="楷体"/>
          <w:b/>
          <w:bCs w:val="0"/>
          <w:sz w:val="30"/>
          <w:szCs w:val="30"/>
          <w:lang w:eastAsia="zh-CN"/>
        </w:rPr>
      </w:pPr>
      <w:r>
        <w:rPr>
          <w:rFonts w:hint="eastAsia" w:ascii="楷体" w:hAnsi="楷体" w:eastAsia="楷体" w:cs="楷体"/>
          <w:b/>
          <w:bCs w:val="0"/>
          <w:sz w:val="30"/>
          <w:szCs w:val="30"/>
        </w:rPr>
        <w:t xml:space="preserve">项目单位 </w:t>
      </w:r>
      <w:r>
        <w:rPr>
          <w:rFonts w:hint="eastAsia" w:ascii="楷体" w:hAnsi="楷体" w:eastAsia="楷体" w:cs="楷体"/>
          <w:b/>
          <w:bCs w:val="0"/>
          <w:sz w:val="30"/>
          <w:szCs w:val="30"/>
          <w:lang w:eastAsia="zh-CN"/>
        </w:rPr>
        <w:t xml:space="preserve">  岳阳市云溪区就业服务中心</w:t>
      </w:r>
    </w:p>
    <w:p>
      <w:pPr>
        <w:spacing w:line="800" w:lineRule="exact"/>
        <w:ind w:firstLine="1488" w:firstLineChars="494"/>
        <w:rPr>
          <w:rFonts w:hint="eastAsia" w:ascii="楷体" w:hAnsi="楷体" w:eastAsia="楷体" w:cs="楷体"/>
          <w:b/>
          <w:bCs w:val="0"/>
          <w:sz w:val="30"/>
          <w:szCs w:val="30"/>
        </w:rPr>
      </w:pPr>
      <w:r>
        <w:rPr>
          <w:rFonts w:hint="eastAsia" w:ascii="楷体" w:hAnsi="楷体" w:eastAsia="楷体" w:cs="楷体"/>
          <w:b/>
          <w:bCs w:val="0"/>
          <w:sz w:val="30"/>
          <w:szCs w:val="30"/>
        </w:rPr>
        <w:t xml:space="preserve">委托单位   </w:t>
      </w:r>
      <w:r>
        <w:rPr>
          <w:rFonts w:hint="eastAsia" w:ascii="楷体" w:hAnsi="楷体" w:eastAsia="楷体" w:cs="楷体"/>
          <w:b/>
          <w:bCs w:val="0"/>
          <w:sz w:val="30"/>
          <w:szCs w:val="30"/>
          <w:lang w:val="en-US" w:eastAsia="zh-CN"/>
        </w:rPr>
        <w:t>云溪区财政局</w:t>
      </w:r>
    </w:p>
    <w:p>
      <w:pPr>
        <w:spacing w:line="800" w:lineRule="exact"/>
        <w:ind w:firstLine="1488" w:firstLineChars="494"/>
        <w:rPr>
          <w:rFonts w:hint="eastAsia" w:ascii="楷体" w:hAnsi="楷体" w:eastAsia="楷体" w:cs="楷体"/>
          <w:b/>
          <w:bCs w:val="0"/>
          <w:sz w:val="32"/>
          <w:szCs w:val="32"/>
        </w:rPr>
      </w:pPr>
      <w:r>
        <w:rPr>
          <w:rFonts w:hint="eastAsia" w:ascii="楷体" w:hAnsi="楷体" w:eastAsia="楷体" w:cs="楷体"/>
          <w:b/>
          <w:bCs w:val="0"/>
          <w:sz w:val="30"/>
          <w:szCs w:val="30"/>
        </w:rPr>
        <w:t xml:space="preserve">评价机构   </w:t>
      </w:r>
      <w:r>
        <w:rPr>
          <w:rFonts w:hint="eastAsia" w:ascii="楷体" w:hAnsi="楷体" w:eastAsia="楷体" w:cs="楷体"/>
          <w:b/>
          <w:bCs w:val="0"/>
          <w:sz w:val="30"/>
          <w:szCs w:val="30"/>
          <w:lang w:eastAsia="zh-CN"/>
        </w:rPr>
        <w:t>湖南公众会计师事务所有限公司</w:t>
      </w:r>
      <w:r>
        <w:rPr>
          <w:rFonts w:hint="eastAsia" w:ascii="楷体" w:hAnsi="楷体" w:eastAsia="楷体" w:cs="楷体"/>
          <w:b/>
          <w:bCs w:val="0"/>
          <w:sz w:val="30"/>
          <w:szCs w:val="30"/>
        </w:rPr>
        <w:t xml:space="preserve"> </w:t>
      </w:r>
      <w:r>
        <w:rPr>
          <w:rFonts w:hint="eastAsia" w:ascii="楷体" w:hAnsi="楷体" w:eastAsia="楷体" w:cs="楷体"/>
          <w:b/>
          <w:bCs w:val="0"/>
          <w:sz w:val="32"/>
          <w:szCs w:val="32"/>
        </w:rPr>
        <w:t xml:space="preserve"> </w:t>
      </w:r>
    </w:p>
    <w:p>
      <w:pPr>
        <w:spacing w:line="800" w:lineRule="exact"/>
        <w:ind w:firstLine="1476" w:firstLineChars="490"/>
        <w:rPr>
          <w:rFonts w:hint="eastAsia" w:ascii="楷体" w:hAnsi="楷体" w:eastAsia="楷体" w:cs="楷体"/>
          <w:b/>
          <w:bCs w:val="0"/>
          <w:sz w:val="30"/>
          <w:szCs w:val="30"/>
        </w:rPr>
      </w:pPr>
    </w:p>
    <w:p>
      <w:pPr>
        <w:pStyle w:val="34"/>
        <w:rPr>
          <w:rFonts w:hint="eastAsia" w:ascii="楷体" w:hAnsi="楷体" w:eastAsia="楷体" w:cs="楷体"/>
          <w:b/>
          <w:sz w:val="24"/>
        </w:rPr>
      </w:pPr>
    </w:p>
    <w:p>
      <w:pPr>
        <w:pStyle w:val="34"/>
        <w:rPr>
          <w:rFonts w:hint="eastAsia" w:ascii="楷体" w:hAnsi="楷体" w:eastAsia="楷体" w:cs="楷体"/>
          <w:b/>
          <w:sz w:val="24"/>
        </w:rPr>
      </w:pPr>
    </w:p>
    <w:p>
      <w:pPr>
        <w:spacing w:line="800" w:lineRule="exact"/>
        <w:ind w:firstLine="1446" w:firstLineChars="600"/>
        <w:rPr>
          <w:rFonts w:hint="eastAsia" w:ascii="楷体" w:hAnsi="楷体" w:eastAsia="楷体" w:cs="楷体"/>
          <w:b/>
          <w:sz w:val="24"/>
        </w:rPr>
      </w:pPr>
      <w:r>
        <w:rPr>
          <w:rFonts w:hint="eastAsia" w:ascii="楷体" w:hAnsi="楷体" w:eastAsia="楷体" w:cs="楷体"/>
          <w:b/>
          <w:sz w:val="24"/>
        </w:rPr>
        <w:t>评价类型 事前评价□ 事中评价□ 事后评价</w:t>
      </w:r>
      <w:r>
        <w:rPr>
          <w:rFonts w:hint="eastAsia" w:ascii="楷体" w:hAnsi="楷体" w:eastAsia="楷体" w:cs="楷体"/>
          <w:b/>
          <w:sz w:val="24"/>
          <w:bdr w:val="single" w:color="auto" w:sz="4" w:space="0"/>
        </w:rPr>
        <w:t>√</w:t>
      </w:r>
    </w:p>
    <w:p>
      <w:pPr>
        <w:spacing w:line="800" w:lineRule="exact"/>
        <w:ind w:firstLine="1446" w:firstLineChars="600"/>
        <w:rPr>
          <w:rFonts w:hint="eastAsia" w:ascii="楷体" w:hAnsi="楷体" w:eastAsia="楷体" w:cs="楷体"/>
          <w:b/>
          <w:sz w:val="24"/>
        </w:rPr>
      </w:pPr>
      <w:r>
        <w:rPr>
          <w:rFonts w:hint="eastAsia" w:ascii="楷体" w:hAnsi="楷体" w:eastAsia="楷体" w:cs="楷体"/>
          <w:b/>
          <w:sz w:val="24"/>
        </w:rPr>
        <w:t>评价方式：部门（单位绩效自评□ 财政部门组织评价</w:t>
      </w:r>
      <w:r>
        <w:rPr>
          <w:rFonts w:hint="eastAsia" w:ascii="楷体" w:hAnsi="楷体" w:eastAsia="楷体" w:cs="楷体"/>
          <w:b/>
          <w:sz w:val="24"/>
          <w:bdr w:val="single" w:color="auto" w:sz="4" w:space="0"/>
        </w:rPr>
        <w:t>√</w:t>
      </w:r>
    </w:p>
    <w:p>
      <w:pPr>
        <w:spacing w:line="800" w:lineRule="exact"/>
        <w:ind w:firstLine="1446" w:firstLineChars="600"/>
        <w:rPr>
          <w:rFonts w:hint="eastAsia" w:ascii="楷体" w:hAnsi="楷体" w:eastAsia="楷体" w:cs="楷体"/>
          <w:b/>
          <w:sz w:val="24"/>
        </w:rPr>
      </w:pPr>
      <w:r>
        <w:rPr>
          <w:rFonts w:hint="eastAsia" w:ascii="楷体" w:hAnsi="楷体" w:eastAsia="楷体" w:cs="楷体"/>
          <w:b/>
          <w:sz w:val="24"/>
        </w:rPr>
        <w:t>评价机构：中介机构</w:t>
      </w:r>
      <w:r>
        <w:rPr>
          <w:rFonts w:hint="eastAsia" w:ascii="楷体" w:hAnsi="楷体" w:eastAsia="楷体" w:cs="楷体"/>
          <w:b/>
          <w:sz w:val="24"/>
          <w:bdr w:val="single" w:color="auto" w:sz="4" w:space="0"/>
        </w:rPr>
        <w:t>√</w:t>
      </w:r>
      <w:r>
        <w:rPr>
          <w:rFonts w:hint="eastAsia" w:ascii="楷体" w:hAnsi="楷体" w:eastAsia="楷体" w:cs="楷体"/>
          <w:b/>
          <w:sz w:val="24"/>
        </w:rPr>
        <w:t xml:space="preserve"> 部门（单位评价组□财政评价组□</w:t>
      </w:r>
    </w:p>
    <w:p>
      <w:pPr>
        <w:spacing w:line="800" w:lineRule="exact"/>
        <w:rPr>
          <w:rFonts w:hint="eastAsia" w:ascii="楷体" w:hAnsi="楷体" w:eastAsia="楷体" w:cs="楷体"/>
          <w:b/>
          <w:sz w:val="24"/>
        </w:rPr>
      </w:pPr>
    </w:p>
    <w:p>
      <w:pPr>
        <w:spacing w:line="348" w:lineRule="auto"/>
        <w:jc w:val="both"/>
        <w:rPr>
          <w:rFonts w:hint="eastAsia" w:ascii="楷体" w:hAnsi="楷体" w:eastAsia="楷体" w:cs="楷体"/>
          <w:sz w:val="28"/>
          <w:szCs w:val="28"/>
        </w:rPr>
      </w:pPr>
      <w:r>
        <w:rPr>
          <w:rFonts w:hint="eastAsia" w:ascii="楷体" w:hAnsi="楷体" w:eastAsia="楷体" w:cs="楷体"/>
          <w:sz w:val="28"/>
          <w:szCs w:val="28"/>
        </w:rPr>
        <w:t xml:space="preserve"> </w:t>
      </w:r>
    </w:p>
    <w:p>
      <w:pPr>
        <w:pStyle w:val="34"/>
        <w:rPr>
          <w:rFonts w:hint="eastAsia"/>
        </w:rPr>
      </w:pPr>
    </w:p>
    <w:p>
      <w:pPr>
        <w:spacing w:line="348" w:lineRule="auto"/>
        <w:ind w:firstLine="2530" w:firstLineChars="900"/>
        <w:jc w:val="both"/>
        <w:rPr>
          <w:rFonts w:hint="eastAsia" w:ascii="楷体" w:hAnsi="楷体" w:eastAsia="楷体" w:cs="楷体"/>
          <w:b/>
          <w:sz w:val="18"/>
          <w:szCs w:val="18"/>
        </w:rPr>
      </w:pPr>
      <w:r>
        <w:rPr>
          <w:rFonts w:hint="eastAsia" w:ascii="楷体" w:hAnsi="楷体" w:eastAsia="楷体" w:cs="楷体"/>
          <w:b/>
          <w:sz w:val="28"/>
          <w:szCs w:val="28"/>
        </w:rPr>
        <w:t>评价时间：</w:t>
      </w:r>
      <w:r>
        <w:rPr>
          <w:rFonts w:hint="eastAsia" w:ascii="楷体" w:hAnsi="楷体" w:eastAsia="楷体" w:cs="楷体"/>
          <w:b/>
          <w:sz w:val="28"/>
          <w:szCs w:val="28"/>
          <w:lang w:eastAsia="zh-CN"/>
        </w:rPr>
        <w:t>二〇二三年</w:t>
      </w:r>
      <w:r>
        <w:rPr>
          <w:rFonts w:hint="eastAsia" w:ascii="楷体" w:hAnsi="楷体" w:eastAsia="楷体" w:cs="楷体"/>
          <w:b/>
          <w:sz w:val="28"/>
          <w:szCs w:val="28"/>
          <w:lang w:val="en-US" w:eastAsia="zh-CN"/>
        </w:rPr>
        <w:t>八</w:t>
      </w:r>
      <w:r>
        <w:rPr>
          <w:rFonts w:hint="eastAsia" w:ascii="楷体" w:hAnsi="楷体" w:eastAsia="楷体" w:cs="楷体"/>
          <w:b/>
          <w:sz w:val="28"/>
          <w:szCs w:val="28"/>
          <w:lang w:eastAsia="zh-CN"/>
        </w:rPr>
        <w:t>月</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tabs>
          <w:tab w:val="clear" w:pos="1282"/>
        </w:tabs>
        <w:kinsoku/>
        <w:wordWrap/>
        <w:overflowPunct/>
        <w:topLinePunct w:val="0"/>
        <w:autoSpaceDE/>
        <w:autoSpaceDN/>
        <w:bidi w:val="0"/>
        <w:adjustRightInd w:val="0"/>
        <w:snapToGrid w:val="0"/>
        <w:spacing w:before="0" w:beforeAutospacing="0" w:after="0" w:afterAutospacing="0" w:line="360" w:lineRule="auto"/>
        <w:ind w:right="0" w:rightChars="0" w:firstLine="602" w:firstLineChars="200"/>
        <w:jc w:val="center"/>
        <w:textAlignment w:val="auto"/>
        <w:rPr>
          <w:rFonts w:hint="eastAsia" w:ascii="宋体" w:hAnsi="宋体" w:eastAsia="宋体" w:cs="宋体"/>
          <w:b/>
          <w:sz w:val="30"/>
          <w:szCs w:val="30"/>
          <w:lang w:val="en-US" w:eastAsia="zh-CN"/>
        </w:rPr>
      </w:pPr>
    </w:p>
    <w:p>
      <w:pPr>
        <w:rPr>
          <w:rFonts w:hint="eastAsia" w:ascii="宋体" w:hAnsi="宋体" w:eastAsia="宋体" w:cs="宋体"/>
          <w:b/>
          <w:sz w:val="30"/>
          <w:szCs w:val="30"/>
          <w:lang w:val="en-US" w:eastAsia="zh-CN"/>
        </w:rPr>
      </w:pPr>
    </w:p>
    <w:p>
      <w:pPr>
        <w:pStyle w:val="2"/>
        <w:rPr>
          <w:rFonts w:hint="eastAsia"/>
          <w:lang w:val="en-US" w:eastAsia="zh-CN"/>
        </w:rPr>
      </w:pP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tabs>
          <w:tab w:val="clear" w:pos="1282"/>
        </w:tabs>
        <w:kinsoku/>
        <w:wordWrap/>
        <w:overflowPunct/>
        <w:topLinePunct w:val="0"/>
        <w:autoSpaceDE/>
        <w:autoSpaceDN/>
        <w:bidi w:val="0"/>
        <w:adjustRightInd w:val="0"/>
        <w:snapToGrid w:val="0"/>
        <w:spacing w:before="0" w:beforeAutospacing="0" w:after="0" w:afterAutospacing="0" w:line="360" w:lineRule="auto"/>
        <w:ind w:right="0" w:rightChars="0" w:firstLine="602" w:firstLineChars="200"/>
        <w:jc w:val="center"/>
        <w:textAlignment w:val="auto"/>
        <w:rPr>
          <w:rFonts w:hint="eastAsia" w:ascii="宋体" w:hAnsi="宋体" w:eastAsia="宋体" w:cs="宋体"/>
          <w:b/>
          <w:sz w:val="30"/>
          <w:szCs w:val="30"/>
          <w:lang w:val="en-US" w:eastAsia="zh-CN"/>
        </w:rPr>
      </w:pPr>
      <w:r>
        <w:rPr>
          <w:rFonts w:hint="eastAsia" w:ascii="宋体" w:hAnsi="宋体" w:eastAsia="宋体" w:cs="宋体"/>
          <w:b/>
          <w:sz w:val="30"/>
          <w:szCs w:val="30"/>
          <w:lang w:val="en-US" w:eastAsia="zh-CN"/>
        </w:rPr>
        <w:t>目  录</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tabs>
          <w:tab w:val="clear" w:pos="1282"/>
        </w:tabs>
        <w:kinsoku/>
        <w:wordWrap/>
        <w:overflowPunct/>
        <w:topLinePunct w:val="0"/>
        <w:autoSpaceDE/>
        <w:autoSpaceDN/>
        <w:bidi w:val="0"/>
        <w:adjustRightInd w:val="0"/>
        <w:snapToGrid w:val="0"/>
        <w:spacing w:before="0" w:beforeAutospacing="0" w:after="0" w:afterAutospacing="0" w:line="360" w:lineRule="auto"/>
        <w:ind w:right="0" w:rightChars="0" w:firstLine="482" w:firstLineChars="200"/>
        <w:jc w:val="both"/>
        <w:textAlignment w:val="auto"/>
        <w:rPr>
          <w:rFonts w:hint="eastAsia" w:ascii="宋体" w:hAnsi="宋体" w:eastAsia="宋体" w:cs="宋体"/>
          <w:b/>
          <w:sz w:val="24"/>
          <w:szCs w:val="24"/>
          <w:lang w:val="en-US" w:eastAsia="zh-CN"/>
        </w:rPr>
      </w:pPr>
      <w:r>
        <w:rPr>
          <w:rFonts w:hint="eastAsia" w:ascii="宋体" w:hAnsi="宋体" w:eastAsia="宋体" w:cs="宋体"/>
          <w:b/>
          <w:sz w:val="24"/>
          <w:szCs w:val="24"/>
        </w:rPr>
        <w:t>一、项目</w:t>
      </w:r>
      <w:r>
        <w:rPr>
          <w:rFonts w:hint="eastAsia" w:ascii="宋体" w:hAnsi="宋体" w:eastAsia="宋体" w:cs="宋体"/>
          <w:b/>
          <w:sz w:val="24"/>
          <w:szCs w:val="24"/>
          <w:lang w:eastAsia="zh-CN"/>
        </w:rPr>
        <w:t>概况</w:t>
      </w:r>
    </w:p>
    <w:p>
      <w:pPr>
        <w:keepNext w:val="0"/>
        <w:keepLines w:val="0"/>
        <w:pageBreakBefore w:val="0"/>
        <w:widowControl w:val="0"/>
        <w:kinsoku/>
        <w:wordWrap/>
        <w:overflowPunct/>
        <w:topLinePunct w:val="0"/>
        <w:bidi w:val="0"/>
        <w:snapToGrid/>
        <w:spacing w:line="240" w:lineRule="auto"/>
        <w:ind w:firstLine="480" w:firstLineChars="200"/>
        <w:textAlignment w:val="auto"/>
        <w:outlineLvl w:val="9"/>
        <w:rPr>
          <w:rFonts w:hint="eastAsia" w:ascii="宋体" w:hAnsi="宋体" w:eastAsia="宋体" w:cs="宋体"/>
          <w:b w:val="0"/>
          <w:bCs/>
          <w:sz w:val="24"/>
          <w:szCs w:val="24"/>
        </w:rPr>
      </w:pPr>
      <w:r>
        <w:rPr>
          <w:rFonts w:hint="eastAsia" w:ascii="宋体" w:hAnsi="宋体" w:eastAsia="宋体" w:cs="宋体"/>
          <w:b w:val="0"/>
          <w:bCs/>
          <w:sz w:val="24"/>
          <w:szCs w:val="24"/>
        </w:rPr>
        <w:t>（</w:t>
      </w:r>
      <w:r>
        <w:rPr>
          <w:rFonts w:hint="eastAsia" w:ascii="宋体" w:hAnsi="宋体" w:eastAsia="宋体" w:cs="宋体"/>
          <w:b w:val="0"/>
          <w:bCs/>
          <w:sz w:val="24"/>
          <w:szCs w:val="24"/>
          <w:lang w:eastAsia="zh-CN"/>
        </w:rPr>
        <w:t>一</w:t>
      </w:r>
      <w:r>
        <w:rPr>
          <w:rFonts w:hint="eastAsia" w:ascii="宋体" w:hAnsi="宋体" w:eastAsia="宋体" w:cs="宋体"/>
          <w:b w:val="0"/>
          <w:bCs/>
          <w:sz w:val="24"/>
          <w:szCs w:val="24"/>
        </w:rPr>
        <w:t>）项目评价依据</w:t>
      </w:r>
    </w:p>
    <w:p>
      <w:pPr>
        <w:keepNext w:val="0"/>
        <w:keepLines w:val="0"/>
        <w:pageBreakBefore w:val="0"/>
        <w:widowControl w:val="0"/>
        <w:kinsoku/>
        <w:wordWrap/>
        <w:overflowPunct/>
        <w:topLinePunct w:val="0"/>
        <w:autoSpaceDE w:val="0"/>
        <w:autoSpaceDN w:val="0"/>
        <w:bidi w:val="0"/>
        <w:adjustRightInd w:val="0"/>
        <w:snapToGrid/>
        <w:spacing w:line="240" w:lineRule="auto"/>
        <w:ind w:firstLine="480" w:firstLineChars="200"/>
        <w:textAlignment w:val="auto"/>
        <w:outlineLvl w:val="9"/>
        <w:rPr>
          <w:rFonts w:hint="eastAsia" w:ascii="宋体" w:hAnsi="宋体" w:eastAsia="宋体" w:cs="宋体"/>
          <w:b w:val="0"/>
          <w:bCs/>
          <w:sz w:val="24"/>
          <w:szCs w:val="24"/>
          <w:lang w:val="zh-CN"/>
        </w:rPr>
      </w:pPr>
      <w:r>
        <w:rPr>
          <w:rFonts w:hint="eastAsia" w:ascii="宋体" w:hAnsi="宋体" w:eastAsia="宋体" w:cs="宋体"/>
          <w:b w:val="0"/>
          <w:bCs/>
          <w:sz w:val="24"/>
          <w:szCs w:val="24"/>
          <w:lang w:val="zh-CN"/>
        </w:rPr>
        <w:t>（二）项目单位基本情况</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ind w:firstLine="480" w:firstLineChars="200"/>
        <w:textAlignment w:val="auto"/>
        <w:outlineLvl w:val="9"/>
        <w:rPr>
          <w:rFonts w:hint="eastAsia" w:ascii="宋体" w:hAnsi="宋体" w:eastAsia="宋体" w:cs="宋体"/>
          <w:b w:val="0"/>
          <w:bCs/>
          <w:sz w:val="24"/>
          <w:szCs w:val="24"/>
          <w:lang w:val="zh-CN"/>
        </w:rPr>
      </w:pPr>
      <w:r>
        <w:rPr>
          <w:rFonts w:hint="eastAsia" w:ascii="宋体" w:hAnsi="宋体" w:cs="宋体"/>
          <w:b w:val="0"/>
          <w:bCs/>
          <w:sz w:val="24"/>
          <w:szCs w:val="24"/>
          <w:lang w:val="zh-CN"/>
        </w:rPr>
        <w:t>（</w:t>
      </w:r>
      <w:r>
        <w:rPr>
          <w:rFonts w:hint="eastAsia" w:ascii="宋体" w:hAnsi="宋体" w:cs="宋体"/>
          <w:b w:val="0"/>
          <w:bCs/>
          <w:sz w:val="24"/>
          <w:szCs w:val="24"/>
          <w:lang w:val="en-US" w:eastAsia="zh-CN"/>
        </w:rPr>
        <w:t>三</w:t>
      </w:r>
      <w:r>
        <w:rPr>
          <w:rFonts w:hint="eastAsia" w:ascii="宋体" w:hAnsi="宋体" w:cs="宋体"/>
          <w:b w:val="0"/>
          <w:bCs/>
          <w:sz w:val="24"/>
          <w:szCs w:val="24"/>
          <w:lang w:val="zh-CN"/>
        </w:rPr>
        <w:t>）</w:t>
      </w:r>
      <w:r>
        <w:rPr>
          <w:rFonts w:hint="eastAsia" w:ascii="宋体" w:hAnsi="宋体" w:eastAsia="宋体" w:cs="宋体"/>
          <w:b w:val="0"/>
          <w:bCs/>
          <w:sz w:val="24"/>
          <w:szCs w:val="24"/>
          <w:lang w:val="zh-CN"/>
        </w:rPr>
        <w:t>项目基本情况</w:t>
      </w:r>
    </w:p>
    <w:p>
      <w:pPr>
        <w:keepNext w:val="0"/>
        <w:keepLines w:val="0"/>
        <w:pageBreakBefore w:val="0"/>
        <w:widowControl w:val="0"/>
        <w:kinsoku/>
        <w:wordWrap/>
        <w:overflowPunct/>
        <w:topLinePunct w:val="0"/>
        <w:bidi w:val="0"/>
        <w:snapToGrid/>
        <w:spacing w:line="240" w:lineRule="auto"/>
        <w:ind w:firstLine="480" w:firstLineChars="200"/>
        <w:textAlignment w:val="auto"/>
        <w:outlineLvl w:val="9"/>
        <w:rPr>
          <w:rFonts w:hint="eastAsia" w:ascii="宋体" w:hAnsi="宋体" w:eastAsia="宋体" w:cs="宋体"/>
          <w:b w:val="0"/>
          <w:bCs/>
          <w:sz w:val="24"/>
          <w:szCs w:val="24"/>
          <w:lang w:val="zh-CN"/>
        </w:rPr>
      </w:pPr>
      <w:r>
        <w:rPr>
          <w:rFonts w:hint="eastAsia" w:ascii="宋体" w:hAnsi="宋体" w:eastAsia="宋体" w:cs="宋体"/>
          <w:b w:val="0"/>
          <w:bCs/>
          <w:sz w:val="24"/>
          <w:szCs w:val="24"/>
          <w:lang w:val="zh-CN"/>
        </w:rPr>
        <w:t>（四）项目绩效目标及项目的主要内容</w:t>
      </w:r>
    </w:p>
    <w:p>
      <w:pPr>
        <w:keepNext w:val="0"/>
        <w:keepLines w:val="0"/>
        <w:pageBreakBefore w:val="0"/>
        <w:widowControl w:val="0"/>
        <w:kinsoku/>
        <w:wordWrap/>
        <w:overflowPunct/>
        <w:topLinePunct w:val="0"/>
        <w:bidi w:val="0"/>
        <w:snapToGrid/>
        <w:spacing w:line="240" w:lineRule="auto"/>
        <w:ind w:firstLine="720" w:firstLineChars="300"/>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1、项目总体目标</w:t>
      </w:r>
    </w:p>
    <w:p>
      <w:pPr>
        <w:keepNext w:val="0"/>
        <w:keepLines w:val="0"/>
        <w:pageBreakBefore w:val="0"/>
        <w:widowControl w:val="0"/>
        <w:kinsoku/>
        <w:wordWrap/>
        <w:overflowPunct/>
        <w:topLinePunct w:val="0"/>
        <w:bidi w:val="0"/>
        <w:snapToGrid/>
        <w:spacing w:line="240" w:lineRule="auto"/>
        <w:ind w:firstLine="720" w:firstLineChars="300"/>
        <w:textAlignment w:val="auto"/>
        <w:outlineLvl w:val="9"/>
        <w:rPr>
          <w:rFonts w:hint="eastAsia" w:ascii="宋体" w:hAnsi="宋体" w:eastAsia="宋体" w:cs="宋体"/>
          <w:b w:val="0"/>
          <w:bCs/>
          <w:sz w:val="24"/>
          <w:szCs w:val="24"/>
          <w:lang w:eastAsia="zh-CN"/>
        </w:rPr>
      </w:pPr>
      <w:r>
        <w:rPr>
          <w:rFonts w:hint="eastAsia" w:ascii="宋体" w:hAnsi="宋体" w:eastAsia="宋体" w:cs="宋体"/>
          <w:b w:val="0"/>
          <w:bCs/>
          <w:sz w:val="24"/>
          <w:szCs w:val="24"/>
          <w:lang w:val="en-US" w:eastAsia="zh-CN"/>
        </w:rPr>
        <w:t>2、</w:t>
      </w:r>
      <w:r>
        <w:rPr>
          <w:rFonts w:hint="eastAsia" w:ascii="宋体" w:hAnsi="宋体" w:eastAsia="宋体" w:cs="宋体"/>
          <w:b w:val="0"/>
          <w:bCs/>
          <w:sz w:val="24"/>
          <w:szCs w:val="24"/>
          <w:lang w:eastAsia="zh-CN"/>
        </w:rPr>
        <w:t>具体目标</w:t>
      </w:r>
    </w:p>
    <w:p>
      <w:pPr>
        <w:keepNext w:val="0"/>
        <w:keepLines w:val="0"/>
        <w:pageBreakBefore w:val="0"/>
        <w:widowControl w:val="0"/>
        <w:kinsoku/>
        <w:wordWrap/>
        <w:overflowPunct/>
        <w:topLinePunct w:val="0"/>
        <w:bidi w:val="0"/>
        <w:snapToGrid/>
        <w:spacing w:line="240" w:lineRule="auto"/>
        <w:ind w:firstLine="480" w:firstLineChars="200"/>
        <w:textAlignment w:val="auto"/>
        <w:outlineLvl w:val="9"/>
        <w:rPr>
          <w:rFonts w:hint="eastAsia" w:ascii="宋体" w:hAnsi="宋体" w:eastAsia="宋体" w:cs="宋体"/>
          <w:b w:val="0"/>
          <w:bCs/>
          <w:sz w:val="24"/>
          <w:szCs w:val="24"/>
        </w:rPr>
      </w:pPr>
      <w:r>
        <w:rPr>
          <w:rFonts w:hint="eastAsia" w:ascii="宋体" w:hAnsi="宋体" w:eastAsia="宋体" w:cs="宋体"/>
          <w:b w:val="0"/>
          <w:bCs/>
          <w:sz w:val="24"/>
          <w:szCs w:val="24"/>
          <w:lang w:eastAsia="zh-CN"/>
        </w:rPr>
        <w:t>（五）</w:t>
      </w:r>
      <w:r>
        <w:rPr>
          <w:rFonts w:hint="eastAsia" w:ascii="宋体" w:hAnsi="宋体" w:eastAsia="宋体" w:cs="宋体"/>
          <w:b w:val="0"/>
          <w:bCs/>
          <w:sz w:val="24"/>
          <w:szCs w:val="24"/>
        </w:rPr>
        <w:t>项目资金情况</w:t>
      </w:r>
    </w:p>
    <w:p>
      <w:pPr>
        <w:keepNext w:val="0"/>
        <w:keepLines w:val="0"/>
        <w:pageBreakBefore w:val="0"/>
        <w:widowControl w:val="0"/>
        <w:kinsoku/>
        <w:wordWrap/>
        <w:overflowPunct/>
        <w:topLinePunct w:val="0"/>
        <w:bidi w:val="0"/>
        <w:snapToGrid/>
        <w:spacing w:line="240" w:lineRule="auto"/>
        <w:ind w:firstLine="720" w:firstLineChars="300"/>
        <w:textAlignment w:val="auto"/>
        <w:outlineLvl w:val="9"/>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1、</w:t>
      </w:r>
      <w:r>
        <w:rPr>
          <w:rFonts w:hint="eastAsia" w:ascii="宋体" w:hAnsi="宋体" w:eastAsia="宋体" w:cs="宋体"/>
          <w:b w:val="0"/>
          <w:bCs/>
          <w:sz w:val="24"/>
          <w:szCs w:val="24"/>
        </w:rPr>
        <w:t>项目</w:t>
      </w:r>
      <w:r>
        <w:rPr>
          <w:rFonts w:hint="eastAsia" w:ascii="宋体" w:hAnsi="宋体" w:eastAsia="宋体" w:cs="宋体"/>
          <w:b w:val="0"/>
          <w:bCs/>
          <w:sz w:val="24"/>
          <w:szCs w:val="24"/>
          <w:lang w:eastAsia="zh-CN"/>
        </w:rPr>
        <w:t>预算</w:t>
      </w:r>
    </w:p>
    <w:p>
      <w:pPr>
        <w:keepNext w:val="0"/>
        <w:keepLines w:val="0"/>
        <w:pageBreakBefore w:val="0"/>
        <w:widowControl w:val="0"/>
        <w:kinsoku/>
        <w:wordWrap/>
        <w:overflowPunct/>
        <w:topLinePunct w:val="0"/>
        <w:bidi w:val="0"/>
        <w:snapToGrid/>
        <w:spacing w:line="240" w:lineRule="auto"/>
        <w:ind w:firstLine="720" w:firstLineChars="300"/>
        <w:textAlignment w:val="auto"/>
        <w:outlineLvl w:val="9"/>
        <w:rPr>
          <w:rFonts w:hint="eastAsia" w:ascii="宋体" w:hAnsi="宋体" w:eastAsia="宋体" w:cs="宋体"/>
          <w:b w:val="0"/>
          <w:bCs/>
          <w:sz w:val="24"/>
          <w:szCs w:val="24"/>
          <w:lang w:eastAsia="zh-CN"/>
        </w:rPr>
      </w:pPr>
      <w:r>
        <w:rPr>
          <w:rFonts w:hint="eastAsia" w:ascii="宋体" w:hAnsi="宋体" w:eastAsia="宋体" w:cs="宋体"/>
          <w:b w:val="0"/>
          <w:bCs/>
          <w:sz w:val="24"/>
          <w:szCs w:val="24"/>
          <w:lang w:val="en-US" w:eastAsia="zh-CN"/>
        </w:rPr>
        <w:t>2、</w:t>
      </w:r>
      <w:r>
        <w:rPr>
          <w:rFonts w:hint="eastAsia" w:ascii="宋体" w:hAnsi="宋体" w:eastAsia="宋体" w:cs="宋体"/>
          <w:b w:val="0"/>
          <w:bCs/>
          <w:sz w:val="24"/>
          <w:szCs w:val="24"/>
        </w:rPr>
        <w:t>资金来源和到位情况</w:t>
      </w:r>
    </w:p>
    <w:p>
      <w:pPr>
        <w:keepNext w:val="0"/>
        <w:keepLines w:val="0"/>
        <w:pageBreakBefore w:val="0"/>
        <w:widowControl w:val="0"/>
        <w:kinsoku/>
        <w:wordWrap/>
        <w:overflowPunct/>
        <w:topLinePunct w:val="0"/>
        <w:bidi w:val="0"/>
        <w:snapToGrid/>
        <w:spacing w:line="240" w:lineRule="auto"/>
        <w:ind w:firstLine="720" w:firstLineChars="300"/>
        <w:textAlignment w:val="auto"/>
        <w:outlineLvl w:val="9"/>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3、</w:t>
      </w:r>
      <w:r>
        <w:rPr>
          <w:rFonts w:hint="eastAsia" w:ascii="宋体" w:hAnsi="宋体" w:eastAsia="宋体" w:cs="宋体"/>
          <w:b w:val="0"/>
          <w:bCs/>
          <w:sz w:val="24"/>
          <w:szCs w:val="24"/>
        </w:rPr>
        <w:t>实际使用资金情况</w:t>
      </w:r>
    </w:p>
    <w:p>
      <w:pPr>
        <w:keepNext w:val="0"/>
        <w:keepLines w:val="0"/>
        <w:pageBreakBefore w:val="0"/>
        <w:widowControl w:val="0"/>
        <w:kinsoku/>
        <w:wordWrap/>
        <w:overflowPunct/>
        <w:topLinePunct w:val="0"/>
        <w:bidi w:val="0"/>
        <w:snapToGrid/>
        <w:spacing w:line="240" w:lineRule="auto"/>
        <w:ind w:firstLine="720" w:firstLineChars="300"/>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4、资金结余情况</w:t>
      </w:r>
    </w:p>
    <w:p>
      <w:pPr>
        <w:keepNext w:val="0"/>
        <w:keepLines w:val="0"/>
        <w:pageBreakBefore w:val="0"/>
        <w:widowControl w:val="0"/>
        <w:kinsoku/>
        <w:wordWrap/>
        <w:overflowPunct/>
        <w:topLinePunct w:val="0"/>
        <w:bidi w:val="0"/>
        <w:snapToGrid/>
        <w:spacing w:line="240" w:lineRule="auto"/>
        <w:ind w:firstLine="720" w:firstLineChars="300"/>
        <w:textAlignment w:val="auto"/>
        <w:outlineLvl w:val="9"/>
        <w:rPr>
          <w:rFonts w:hint="eastAsia" w:ascii="宋体" w:hAnsi="宋体" w:eastAsia="宋体" w:cs="宋体"/>
          <w:b/>
          <w:sz w:val="24"/>
          <w:szCs w:val="24"/>
          <w:lang w:eastAsia="zh-CN"/>
        </w:rPr>
      </w:pPr>
      <w:r>
        <w:rPr>
          <w:rFonts w:hint="eastAsia" w:ascii="宋体" w:hAnsi="宋体" w:eastAsia="宋体" w:cs="宋体"/>
          <w:b w:val="0"/>
          <w:bCs/>
          <w:sz w:val="24"/>
          <w:szCs w:val="24"/>
          <w:lang w:val="en-US" w:eastAsia="zh-CN"/>
        </w:rPr>
        <w:t>5、资金管理制度情况</w:t>
      </w:r>
    </w:p>
    <w:p>
      <w:pPr>
        <w:keepNext w:val="0"/>
        <w:keepLines w:val="0"/>
        <w:pageBreakBefore w:val="0"/>
        <w:widowControl w:val="0"/>
        <w:kinsoku/>
        <w:wordWrap/>
        <w:overflowPunct/>
        <w:topLinePunct w:val="0"/>
        <w:bidi w:val="0"/>
        <w:snapToGrid/>
        <w:spacing w:line="360" w:lineRule="auto"/>
        <w:ind w:firstLine="482" w:firstLineChars="200"/>
        <w:textAlignment w:val="auto"/>
        <w:outlineLvl w:val="9"/>
        <w:rPr>
          <w:rFonts w:hint="eastAsia" w:ascii="宋体" w:hAnsi="宋体" w:eastAsia="宋体" w:cs="宋体"/>
          <w:b/>
          <w:sz w:val="24"/>
          <w:szCs w:val="24"/>
        </w:rPr>
      </w:pPr>
      <w:r>
        <w:rPr>
          <w:rFonts w:hint="eastAsia" w:ascii="宋体" w:hAnsi="宋体" w:eastAsia="宋体" w:cs="宋体"/>
          <w:b/>
          <w:sz w:val="24"/>
          <w:szCs w:val="24"/>
        </w:rPr>
        <w:t>二、绩效评价工作情况</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outlineLvl w:val="9"/>
        <w:rPr>
          <w:rFonts w:hint="eastAsia" w:ascii="宋体" w:hAnsi="宋体" w:eastAsia="宋体" w:cs="宋体"/>
          <w:b w:val="0"/>
          <w:bCs/>
          <w:sz w:val="24"/>
          <w:szCs w:val="24"/>
        </w:rPr>
      </w:pPr>
      <w:r>
        <w:rPr>
          <w:rFonts w:hint="eastAsia" w:ascii="宋体" w:hAnsi="宋体" w:eastAsia="宋体" w:cs="宋体"/>
          <w:b w:val="0"/>
          <w:bCs/>
          <w:sz w:val="24"/>
          <w:szCs w:val="24"/>
        </w:rPr>
        <w:t>（一）绩效评价的目的</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outlineLvl w:val="9"/>
        <w:rPr>
          <w:rFonts w:hint="eastAsia" w:ascii="宋体" w:hAnsi="宋体" w:eastAsia="宋体" w:cs="宋体"/>
          <w:b w:val="0"/>
          <w:bCs/>
          <w:sz w:val="24"/>
          <w:szCs w:val="24"/>
        </w:rPr>
      </w:pPr>
      <w:r>
        <w:rPr>
          <w:rFonts w:hint="eastAsia" w:ascii="宋体" w:hAnsi="宋体" w:eastAsia="宋体" w:cs="宋体"/>
          <w:b w:val="0"/>
          <w:bCs/>
          <w:sz w:val="24"/>
          <w:szCs w:val="24"/>
        </w:rPr>
        <w:t>（二）绩效评价原则、指标体系</w:t>
      </w:r>
      <w:r>
        <w:rPr>
          <w:rFonts w:hint="eastAsia" w:ascii="宋体" w:hAnsi="宋体" w:eastAsia="宋体" w:cs="宋体"/>
          <w:b w:val="0"/>
          <w:bCs/>
          <w:sz w:val="24"/>
          <w:szCs w:val="24"/>
          <w:lang w:eastAsia="zh-CN"/>
        </w:rPr>
        <w:t>及</w:t>
      </w:r>
      <w:r>
        <w:rPr>
          <w:rFonts w:hint="eastAsia" w:ascii="宋体" w:hAnsi="宋体" w:eastAsia="宋体" w:cs="宋体"/>
          <w:b w:val="0"/>
          <w:bCs/>
          <w:sz w:val="24"/>
          <w:szCs w:val="24"/>
        </w:rPr>
        <w:t>标准和评价方法</w:t>
      </w:r>
    </w:p>
    <w:p>
      <w:pPr>
        <w:keepNext w:val="0"/>
        <w:keepLines w:val="0"/>
        <w:pageBreakBefore w:val="0"/>
        <w:widowControl w:val="0"/>
        <w:kinsoku/>
        <w:wordWrap/>
        <w:overflowPunct/>
        <w:topLinePunct w:val="0"/>
        <w:autoSpaceDE/>
        <w:autoSpaceDN/>
        <w:bidi w:val="0"/>
        <w:adjustRightInd/>
        <w:snapToGrid/>
        <w:spacing w:line="240" w:lineRule="auto"/>
        <w:ind w:firstLine="720" w:firstLineChars="300"/>
        <w:textAlignment w:val="auto"/>
        <w:outlineLvl w:val="9"/>
        <w:rPr>
          <w:rFonts w:hint="eastAsia" w:ascii="宋体" w:hAnsi="宋体" w:eastAsia="宋体" w:cs="宋体"/>
          <w:b w:val="0"/>
          <w:bCs/>
          <w:sz w:val="24"/>
          <w:szCs w:val="24"/>
        </w:rPr>
      </w:pPr>
      <w:r>
        <w:rPr>
          <w:rFonts w:hint="eastAsia" w:ascii="宋体" w:hAnsi="宋体" w:eastAsia="宋体" w:cs="宋体"/>
          <w:b w:val="0"/>
          <w:bCs/>
          <w:sz w:val="24"/>
          <w:szCs w:val="24"/>
        </w:rPr>
        <w:t>1</w:t>
      </w:r>
      <w:r>
        <w:rPr>
          <w:rFonts w:hint="eastAsia" w:ascii="宋体" w:hAnsi="宋体" w:cs="宋体"/>
          <w:b w:val="0"/>
          <w:bCs/>
          <w:sz w:val="24"/>
          <w:szCs w:val="24"/>
          <w:lang w:eastAsia="zh-CN"/>
        </w:rPr>
        <w:t>、</w:t>
      </w:r>
      <w:r>
        <w:rPr>
          <w:rFonts w:hint="eastAsia" w:ascii="宋体" w:hAnsi="宋体" w:eastAsia="宋体" w:cs="宋体"/>
          <w:b w:val="0"/>
          <w:bCs/>
          <w:sz w:val="24"/>
          <w:szCs w:val="24"/>
        </w:rPr>
        <w:t>绩效评价原则</w:t>
      </w:r>
    </w:p>
    <w:p>
      <w:pPr>
        <w:keepNext w:val="0"/>
        <w:keepLines w:val="0"/>
        <w:pageBreakBefore w:val="0"/>
        <w:widowControl w:val="0"/>
        <w:kinsoku/>
        <w:wordWrap/>
        <w:overflowPunct/>
        <w:topLinePunct w:val="0"/>
        <w:autoSpaceDE/>
        <w:autoSpaceDN/>
        <w:bidi w:val="0"/>
        <w:adjustRightInd/>
        <w:snapToGrid/>
        <w:spacing w:line="240" w:lineRule="auto"/>
        <w:ind w:firstLine="720" w:firstLineChars="300"/>
        <w:textAlignment w:val="auto"/>
        <w:outlineLvl w:val="9"/>
        <w:rPr>
          <w:rFonts w:hint="eastAsia" w:ascii="宋体" w:hAnsi="宋体" w:eastAsia="宋体" w:cs="宋体"/>
          <w:b w:val="0"/>
          <w:bCs/>
          <w:sz w:val="24"/>
          <w:szCs w:val="24"/>
        </w:rPr>
      </w:pPr>
      <w:r>
        <w:rPr>
          <w:rFonts w:hint="eastAsia" w:ascii="宋体" w:hAnsi="宋体" w:eastAsia="宋体" w:cs="宋体"/>
          <w:b w:val="0"/>
          <w:bCs/>
          <w:sz w:val="24"/>
          <w:szCs w:val="24"/>
        </w:rPr>
        <w:t>2</w:t>
      </w:r>
      <w:r>
        <w:rPr>
          <w:rFonts w:hint="eastAsia" w:ascii="宋体" w:hAnsi="宋体" w:cs="宋体"/>
          <w:b w:val="0"/>
          <w:bCs/>
          <w:sz w:val="24"/>
          <w:szCs w:val="24"/>
          <w:lang w:eastAsia="zh-CN"/>
        </w:rPr>
        <w:t>、</w:t>
      </w:r>
      <w:r>
        <w:rPr>
          <w:rFonts w:hint="eastAsia" w:ascii="宋体" w:hAnsi="宋体" w:eastAsia="宋体" w:cs="宋体"/>
          <w:b w:val="0"/>
          <w:bCs/>
          <w:sz w:val="24"/>
          <w:szCs w:val="24"/>
        </w:rPr>
        <w:t>绩效指标体系及标准</w:t>
      </w:r>
    </w:p>
    <w:p>
      <w:pPr>
        <w:keepNext w:val="0"/>
        <w:keepLines w:val="0"/>
        <w:pageBreakBefore w:val="0"/>
        <w:widowControl w:val="0"/>
        <w:kinsoku/>
        <w:wordWrap/>
        <w:overflowPunct/>
        <w:topLinePunct w:val="0"/>
        <w:autoSpaceDE/>
        <w:autoSpaceDN/>
        <w:bidi w:val="0"/>
        <w:adjustRightInd/>
        <w:snapToGrid/>
        <w:spacing w:line="240" w:lineRule="auto"/>
        <w:ind w:firstLine="720" w:firstLineChars="300"/>
        <w:textAlignment w:val="auto"/>
        <w:outlineLvl w:val="9"/>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3</w:t>
      </w:r>
      <w:r>
        <w:rPr>
          <w:rFonts w:hint="eastAsia" w:ascii="宋体" w:hAnsi="宋体" w:cs="宋体"/>
          <w:b w:val="0"/>
          <w:bCs/>
          <w:sz w:val="24"/>
          <w:szCs w:val="24"/>
          <w:lang w:val="en-US" w:eastAsia="zh-CN"/>
        </w:rPr>
        <w:t>、</w:t>
      </w:r>
      <w:r>
        <w:rPr>
          <w:rFonts w:hint="eastAsia" w:ascii="宋体" w:hAnsi="宋体" w:eastAsia="宋体" w:cs="宋体"/>
          <w:b w:val="0"/>
          <w:bCs/>
          <w:sz w:val="24"/>
          <w:szCs w:val="24"/>
        </w:rPr>
        <w:t>绩效评价方法和内容</w:t>
      </w:r>
    </w:p>
    <w:p>
      <w:pPr>
        <w:keepNext w:val="0"/>
        <w:keepLines w:val="0"/>
        <w:pageBreakBefore w:val="0"/>
        <w:widowControl w:val="0"/>
        <w:kinsoku/>
        <w:wordWrap/>
        <w:overflowPunct/>
        <w:topLinePunct w:val="0"/>
        <w:bidi w:val="0"/>
        <w:snapToGrid/>
        <w:spacing w:line="360" w:lineRule="auto"/>
        <w:ind w:firstLine="480" w:firstLineChars="200"/>
        <w:textAlignment w:val="auto"/>
        <w:outlineLvl w:val="9"/>
        <w:rPr>
          <w:rFonts w:hint="eastAsia" w:ascii="宋体" w:hAnsi="宋体" w:eastAsia="宋体" w:cs="宋体"/>
          <w:b w:val="0"/>
          <w:bCs/>
          <w:sz w:val="24"/>
          <w:szCs w:val="24"/>
        </w:rPr>
      </w:pPr>
      <w:r>
        <w:rPr>
          <w:rFonts w:hint="eastAsia" w:ascii="宋体" w:hAnsi="宋体" w:eastAsia="宋体" w:cs="宋体"/>
          <w:b w:val="0"/>
          <w:bCs/>
          <w:sz w:val="24"/>
          <w:szCs w:val="24"/>
        </w:rPr>
        <w:t>（三）绩效评价工作实施过程</w:t>
      </w:r>
    </w:p>
    <w:p>
      <w:pPr>
        <w:keepNext w:val="0"/>
        <w:keepLines w:val="0"/>
        <w:pageBreakBefore w:val="0"/>
        <w:widowControl w:val="0"/>
        <w:kinsoku/>
        <w:wordWrap/>
        <w:overflowPunct/>
        <w:topLinePunct w:val="0"/>
        <w:autoSpaceDE/>
        <w:autoSpaceDN/>
        <w:bidi w:val="0"/>
        <w:adjustRightInd/>
        <w:snapToGrid/>
        <w:spacing w:line="240" w:lineRule="auto"/>
        <w:ind w:firstLine="720" w:firstLineChars="300"/>
        <w:textAlignment w:val="auto"/>
        <w:outlineLvl w:val="9"/>
        <w:rPr>
          <w:rFonts w:hint="eastAsia" w:ascii="宋体" w:hAnsi="宋体" w:eastAsia="宋体" w:cs="宋体"/>
          <w:b w:val="0"/>
          <w:bCs/>
          <w:sz w:val="24"/>
          <w:szCs w:val="24"/>
        </w:rPr>
      </w:pPr>
      <w:r>
        <w:rPr>
          <w:rFonts w:hint="eastAsia" w:ascii="宋体" w:hAnsi="宋体" w:eastAsia="宋体" w:cs="宋体"/>
          <w:b w:val="0"/>
          <w:bCs/>
          <w:sz w:val="24"/>
          <w:szCs w:val="24"/>
        </w:rPr>
        <w:t>1</w:t>
      </w:r>
      <w:r>
        <w:rPr>
          <w:rFonts w:hint="eastAsia" w:ascii="宋体" w:hAnsi="宋体" w:cs="宋体"/>
          <w:b w:val="0"/>
          <w:bCs/>
          <w:sz w:val="24"/>
          <w:szCs w:val="24"/>
          <w:lang w:eastAsia="zh-CN"/>
        </w:rPr>
        <w:t>、</w:t>
      </w:r>
      <w:r>
        <w:rPr>
          <w:rFonts w:hint="eastAsia" w:ascii="宋体" w:hAnsi="宋体" w:eastAsia="宋体" w:cs="宋体"/>
          <w:b w:val="0"/>
          <w:bCs/>
          <w:sz w:val="24"/>
          <w:szCs w:val="24"/>
        </w:rPr>
        <w:t>前期准备</w:t>
      </w:r>
    </w:p>
    <w:p>
      <w:pPr>
        <w:keepNext w:val="0"/>
        <w:keepLines w:val="0"/>
        <w:pageBreakBefore w:val="0"/>
        <w:widowControl w:val="0"/>
        <w:kinsoku/>
        <w:wordWrap/>
        <w:overflowPunct/>
        <w:topLinePunct w:val="0"/>
        <w:autoSpaceDE/>
        <w:autoSpaceDN/>
        <w:bidi w:val="0"/>
        <w:adjustRightInd/>
        <w:snapToGrid/>
        <w:spacing w:line="240" w:lineRule="auto"/>
        <w:ind w:firstLine="720" w:firstLineChars="300"/>
        <w:textAlignment w:val="auto"/>
        <w:outlineLvl w:val="9"/>
        <w:rPr>
          <w:rFonts w:hint="eastAsia" w:ascii="宋体" w:hAnsi="宋体" w:eastAsia="宋体" w:cs="宋体"/>
          <w:b w:val="0"/>
          <w:bCs/>
          <w:sz w:val="24"/>
          <w:szCs w:val="24"/>
        </w:rPr>
      </w:pPr>
      <w:r>
        <w:rPr>
          <w:rFonts w:hint="eastAsia" w:ascii="宋体" w:hAnsi="宋体" w:eastAsia="宋体" w:cs="宋体"/>
          <w:b w:val="0"/>
          <w:bCs/>
          <w:sz w:val="24"/>
          <w:szCs w:val="24"/>
        </w:rPr>
        <w:t>2</w:t>
      </w:r>
      <w:r>
        <w:rPr>
          <w:rFonts w:hint="eastAsia" w:ascii="宋体" w:hAnsi="宋体" w:cs="宋体"/>
          <w:b w:val="0"/>
          <w:bCs/>
          <w:sz w:val="24"/>
          <w:szCs w:val="24"/>
          <w:lang w:eastAsia="zh-CN"/>
        </w:rPr>
        <w:t>、</w:t>
      </w:r>
      <w:r>
        <w:rPr>
          <w:rFonts w:hint="eastAsia" w:ascii="宋体" w:hAnsi="宋体" w:eastAsia="宋体" w:cs="宋体"/>
          <w:b w:val="0"/>
          <w:bCs/>
          <w:sz w:val="24"/>
          <w:szCs w:val="24"/>
        </w:rPr>
        <w:t>组织实施过程</w:t>
      </w:r>
    </w:p>
    <w:p>
      <w:pPr>
        <w:keepNext w:val="0"/>
        <w:keepLines w:val="0"/>
        <w:pageBreakBefore w:val="0"/>
        <w:widowControl w:val="0"/>
        <w:kinsoku/>
        <w:wordWrap/>
        <w:overflowPunct/>
        <w:topLinePunct w:val="0"/>
        <w:autoSpaceDE/>
        <w:autoSpaceDN/>
        <w:bidi w:val="0"/>
        <w:adjustRightInd/>
        <w:snapToGrid/>
        <w:spacing w:line="240" w:lineRule="auto"/>
        <w:ind w:firstLine="720" w:firstLineChars="300"/>
        <w:textAlignment w:val="auto"/>
        <w:outlineLvl w:val="9"/>
        <w:rPr>
          <w:rFonts w:hint="eastAsia" w:ascii="宋体" w:hAnsi="宋体" w:eastAsia="宋体" w:cs="宋体"/>
          <w:b w:val="0"/>
          <w:bCs/>
          <w:sz w:val="24"/>
          <w:szCs w:val="24"/>
        </w:rPr>
      </w:pPr>
      <w:r>
        <w:rPr>
          <w:rFonts w:hint="eastAsia" w:ascii="宋体" w:hAnsi="宋体" w:eastAsia="宋体" w:cs="宋体"/>
          <w:b w:val="0"/>
          <w:bCs/>
          <w:sz w:val="24"/>
          <w:szCs w:val="24"/>
        </w:rPr>
        <w:t>3</w:t>
      </w:r>
      <w:r>
        <w:rPr>
          <w:rFonts w:hint="eastAsia" w:ascii="宋体" w:hAnsi="宋体" w:cs="宋体"/>
          <w:b w:val="0"/>
          <w:bCs/>
          <w:sz w:val="24"/>
          <w:szCs w:val="24"/>
          <w:lang w:eastAsia="zh-CN"/>
        </w:rPr>
        <w:t>、</w:t>
      </w:r>
      <w:r>
        <w:rPr>
          <w:rFonts w:hint="eastAsia" w:ascii="宋体" w:hAnsi="宋体" w:eastAsia="宋体" w:cs="宋体"/>
          <w:b w:val="0"/>
          <w:bCs/>
          <w:sz w:val="24"/>
          <w:szCs w:val="24"/>
        </w:rPr>
        <w:t>分析评价</w:t>
      </w:r>
    </w:p>
    <w:p>
      <w:pPr>
        <w:keepNext w:val="0"/>
        <w:keepLines w:val="0"/>
        <w:pageBreakBefore w:val="0"/>
        <w:widowControl w:val="0"/>
        <w:kinsoku/>
        <w:wordWrap/>
        <w:overflowPunct/>
        <w:topLinePunct w:val="0"/>
        <w:bidi w:val="0"/>
        <w:snapToGrid/>
        <w:spacing w:line="360" w:lineRule="auto"/>
        <w:ind w:firstLine="480" w:firstLineChars="200"/>
        <w:textAlignment w:val="auto"/>
        <w:outlineLvl w:val="9"/>
        <w:rPr>
          <w:rFonts w:hint="eastAsia" w:ascii="宋体" w:hAnsi="宋体" w:eastAsia="宋体" w:cs="宋体"/>
          <w:b w:val="0"/>
          <w:bCs/>
          <w:sz w:val="24"/>
          <w:szCs w:val="24"/>
          <w:lang w:eastAsia="zh-CN"/>
        </w:rPr>
      </w:pPr>
      <w:r>
        <w:rPr>
          <w:rFonts w:hint="eastAsia" w:ascii="宋体" w:hAnsi="宋体" w:eastAsia="宋体" w:cs="宋体"/>
          <w:b w:val="0"/>
          <w:bCs/>
          <w:sz w:val="24"/>
          <w:szCs w:val="24"/>
          <w:lang w:eastAsia="zh-CN"/>
        </w:rPr>
        <w:t>（四）绩效目标的实现程度</w:t>
      </w:r>
    </w:p>
    <w:p>
      <w:pPr>
        <w:keepNext w:val="0"/>
        <w:keepLines w:val="0"/>
        <w:pageBreakBefore w:val="0"/>
        <w:widowControl w:val="0"/>
        <w:kinsoku/>
        <w:wordWrap/>
        <w:overflowPunct/>
        <w:topLinePunct w:val="0"/>
        <w:autoSpaceDE/>
        <w:autoSpaceDN/>
        <w:bidi w:val="0"/>
        <w:adjustRightInd/>
        <w:snapToGrid/>
        <w:spacing w:line="240" w:lineRule="auto"/>
        <w:ind w:firstLine="720" w:firstLineChars="300"/>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w:t>
      </w:r>
      <w:r>
        <w:rPr>
          <w:rFonts w:hint="eastAsia" w:ascii="宋体" w:hAnsi="宋体" w:eastAsia="宋体" w:cs="宋体"/>
          <w:b w:val="0"/>
          <w:bCs/>
          <w:sz w:val="24"/>
          <w:szCs w:val="24"/>
        </w:rPr>
        <w:t>项目产出完成情况及分析</w:t>
      </w:r>
    </w:p>
    <w:p>
      <w:pPr>
        <w:keepNext w:val="0"/>
        <w:keepLines w:val="0"/>
        <w:pageBreakBefore w:val="0"/>
        <w:widowControl w:val="0"/>
        <w:kinsoku/>
        <w:wordWrap/>
        <w:overflowPunct/>
        <w:topLinePunct w:val="0"/>
        <w:autoSpaceDE/>
        <w:autoSpaceDN/>
        <w:bidi w:val="0"/>
        <w:adjustRightInd/>
        <w:snapToGrid/>
        <w:spacing w:line="240" w:lineRule="auto"/>
        <w:ind w:firstLine="720" w:firstLineChars="300"/>
        <w:textAlignment w:val="auto"/>
        <w:outlineLvl w:val="9"/>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2、</w:t>
      </w:r>
      <w:r>
        <w:rPr>
          <w:rFonts w:hint="eastAsia" w:ascii="宋体" w:hAnsi="宋体" w:eastAsia="宋体" w:cs="宋体"/>
          <w:b w:val="0"/>
          <w:bCs/>
          <w:sz w:val="24"/>
          <w:szCs w:val="24"/>
        </w:rPr>
        <w:t>产出质量情况分析</w:t>
      </w:r>
    </w:p>
    <w:p>
      <w:pPr>
        <w:keepNext w:val="0"/>
        <w:keepLines w:val="0"/>
        <w:pageBreakBefore w:val="0"/>
        <w:widowControl w:val="0"/>
        <w:kinsoku/>
        <w:wordWrap/>
        <w:overflowPunct/>
        <w:topLinePunct w:val="0"/>
        <w:autoSpaceDE/>
        <w:autoSpaceDN/>
        <w:bidi w:val="0"/>
        <w:adjustRightInd/>
        <w:snapToGrid/>
        <w:spacing w:line="240" w:lineRule="auto"/>
        <w:ind w:firstLine="720" w:firstLineChars="300"/>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3、产出时效</w:t>
      </w:r>
    </w:p>
    <w:p>
      <w:pPr>
        <w:keepNext w:val="0"/>
        <w:keepLines w:val="0"/>
        <w:pageBreakBefore w:val="0"/>
        <w:widowControl w:val="0"/>
        <w:kinsoku/>
        <w:wordWrap/>
        <w:overflowPunct/>
        <w:topLinePunct w:val="0"/>
        <w:autoSpaceDE/>
        <w:autoSpaceDN/>
        <w:bidi w:val="0"/>
        <w:adjustRightInd/>
        <w:snapToGrid/>
        <w:spacing w:line="240" w:lineRule="auto"/>
        <w:ind w:firstLine="720" w:firstLineChars="300"/>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4、成本控制</w:t>
      </w:r>
    </w:p>
    <w:p>
      <w:pPr>
        <w:keepNext w:val="0"/>
        <w:keepLines w:val="0"/>
        <w:pageBreakBefore w:val="0"/>
        <w:widowControl w:val="0"/>
        <w:kinsoku/>
        <w:wordWrap/>
        <w:overflowPunct/>
        <w:topLinePunct w:val="0"/>
        <w:autoSpaceDE/>
        <w:autoSpaceDN/>
        <w:bidi w:val="0"/>
        <w:adjustRightInd/>
        <w:snapToGrid/>
        <w:spacing w:line="240" w:lineRule="auto"/>
        <w:ind w:firstLine="720" w:firstLineChars="300"/>
        <w:textAlignment w:val="auto"/>
        <w:outlineLvl w:val="9"/>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5、</w:t>
      </w:r>
      <w:r>
        <w:rPr>
          <w:rFonts w:hint="eastAsia" w:ascii="宋体" w:hAnsi="宋体" w:eastAsia="宋体" w:cs="宋体"/>
          <w:b w:val="0"/>
          <w:bCs/>
          <w:sz w:val="24"/>
          <w:szCs w:val="24"/>
        </w:rPr>
        <w:t>项目公开、公正</w:t>
      </w:r>
    </w:p>
    <w:p>
      <w:pPr>
        <w:keepNext w:val="0"/>
        <w:keepLines w:val="0"/>
        <w:pageBreakBefore w:val="0"/>
        <w:widowControl w:val="0"/>
        <w:kinsoku/>
        <w:wordWrap/>
        <w:overflowPunct/>
        <w:topLinePunct w:val="0"/>
        <w:autoSpaceDE/>
        <w:autoSpaceDN/>
        <w:bidi w:val="0"/>
        <w:adjustRightInd/>
        <w:snapToGrid/>
        <w:spacing w:line="240" w:lineRule="auto"/>
        <w:ind w:firstLine="720" w:firstLineChars="300"/>
        <w:textAlignment w:val="auto"/>
        <w:outlineLvl w:val="9"/>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6、</w:t>
      </w:r>
      <w:r>
        <w:rPr>
          <w:rFonts w:hint="eastAsia" w:ascii="宋体" w:hAnsi="宋体" w:eastAsia="宋体" w:cs="宋体"/>
          <w:b w:val="0"/>
          <w:bCs/>
          <w:sz w:val="24"/>
          <w:szCs w:val="24"/>
        </w:rPr>
        <w:t>项目完成后效果</w:t>
      </w:r>
    </w:p>
    <w:p>
      <w:pPr>
        <w:keepNext w:val="0"/>
        <w:keepLines w:val="0"/>
        <w:pageBreakBefore w:val="0"/>
        <w:widowControl w:val="0"/>
        <w:kinsoku/>
        <w:wordWrap/>
        <w:overflowPunct/>
        <w:topLinePunct w:val="0"/>
        <w:bidi w:val="0"/>
        <w:snapToGrid/>
        <w:spacing w:line="360" w:lineRule="auto"/>
        <w:ind w:firstLine="480" w:firstLineChars="200"/>
        <w:textAlignment w:val="auto"/>
        <w:outlineLvl w:val="9"/>
        <w:rPr>
          <w:rFonts w:hint="eastAsia" w:ascii="宋体" w:hAnsi="宋体" w:eastAsia="宋体" w:cs="宋体"/>
          <w:b w:val="0"/>
          <w:bCs/>
          <w:sz w:val="24"/>
          <w:szCs w:val="24"/>
        </w:rPr>
      </w:pPr>
      <w:r>
        <w:rPr>
          <w:rFonts w:hint="eastAsia" w:ascii="宋体" w:hAnsi="宋体" w:eastAsia="宋体" w:cs="宋体"/>
          <w:b w:val="0"/>
          <w:bCs/>
          <w:sz w:val="24"/>
          <w:szCs w:val="24"/>
          <w:lang w:eastAsia="zh-CN"/>
        </w:rPr>
        <w:t>（五）</w:t>
      </w:r>
      <w:r>
        <w:rPr>
          <w:rFonts w:hint="eastAsia" w:ascii="宋体" w:hAnsi="宋体" w:eastAsia="宋体" w:cs="宋体"/>
          <w:b w:val="0"/>
          <w:bCs/>
          <w:sz w:val="24"/>
          <w:szCs w:val="24"/>
        </w:rPr>
        <w:t>项目绩效评价结论</w:t>
      </w:r>
    </w:p>
    <w:p>
      <w:pPr>
        <w:keepNext w:val="0"/>
        <w:keepLines w:val="0"/>
        <w:pageBreakBefore w:val="0"/>
        <w:widowControl w:val="0"/>
        <w:kinsoku/>
        <w:wordWrap/>
        <w:overflowPunct/>
        <w:topLinePunct w:val="0"/>
        <w:autoSpaceDE/>
        <w:autoSpaceDN/>
        <w:bidi w:val="0"/>
        <w:adjustRightInd/>
        <w:snapToGrid/>
        <w:spacing w:line="240" w:lineRule="auto"/>
        <w:ind w:firstLine="482" w:firstLineChars="200"/>
        <w:textAlignment w:val="auto"/>
        <w:outlineLvl w:val="9"/>
        <w:rPr>
          <w:rFonts w:hint="eastAsia" w:ascii="宋体" w:hAnsi="宋体" w:eastAsia="宋体" w:cs="宋体"/>
          <w:b/>
          <w:sz w:val="24"/>
          <w:szCs w:val="24"/>
        </w:rPr>
      </w:pPr>
      <w:r>
        <w:rPr>
          <w:rFonts w:hint="eastAsia" w:ascii="宋体" w:hAnsi="宋体" w:eastAsia="宋体" w:cs="宋体"/>
          <w:b/>
          <w:sz w:val="24"/>
          <w:szCs w:val="24"/>
          <w:lang w:eastAsia="zh-CN"/>
        </w:rPr>
        <w:t>三、</w:t>
      </w:r>
      <w:r>
        <w:rPr>
          <w:rFonts w:hint="eastAsia" w:ascii="宋体" w:hAnsi="宋体" w:eastAsia="宋体" w:cs="宋体"/>
          <w:b/>
          <w:sz w:val="24"/>
          <w:szCs w:val="24"/>
        </w:rPr>
        <w:t>存在问题及原因分析</w:t>
      </w:r>
    </w:p>
    <w:p>
      <w:pPr>
        <w:keepNext w:val="0"/>
        <w:keepLines w:val="0"/>
        <w:pageBreakBefore w:val="0"/>
        <w:widowControl w:val="0"/>
        <w:kinsoku/>
        <w:wordWrap/>
        <w:overflowPunct/>
        <w:topLinePunct w:val="0"/>
        <w:bidi w:val="0"/>
        <w:snapToGrid/>
        <w:spacing w:line="360" w:lineRule="auto"/>
        <w:ind w:firstLine="480" w:firstLineChars="200"/>
        <w:textAlignment w:val="auto"/>
        <w:outlineLvl w:val="9"/>
        <w:rPr>
          <w:rFonts w:hint="eastAsia" w:ascii="宋体" w:hAnsi="宋体" w:eastAsia="宋体" w:cs="宋体"/>
          <w:b w:val="0"/>
          <w:bCs/>
          <w:sz w:val="24"/>
          <w:szCs w:val="24"/>
          <w:lang w:eastAsia="zh-CN"/>
        </w:rPr>
      </w:pPr>
      <w:r>
        <w:rPr>
          <w:rFonts w:hint="eastAsia" w:ascii="宋体" w:hAnsi="宋体" w:eastAsia="宋体" w:cs="宋体"/>
          <w:b w:val="0"/>
          <w:bCs/>
          <w:sz w:val="24"/>
          <w:szCs w:val="24"/>
          <w:lang w:eastAsia="zh-CN"/>
        </w:rPr>
        <w:t>（一）项目目标方面</w:t>
      </w:r>
    </w:p>
    <w:p>
      <w:pPr>
        <w:keepNext w:val="0"/>
        <w:keepLines w:val="0"/>
        <w:pageBreakBefore w:val="0"/>
        <w:widowControl w:val="0"/>
        <w:kinsoku/>
        <w:wordWrap/>
        <w:overflowPunct/>
        <w:topLinePunct w:val="0"/>
        <w:bidi w:val="0"/>
        <w:snapToGrid/>
        <w:spacing w:line="360" w:lineRule="auto"/>
        <w:ind w:firstLine="480" w:firstLineChars="200"/>
        <w:textAlignment w:val="auto"/>
        <w:outlineLvl w:val="9"/>
        <w:rPr>
          <w:rFonts w:hint="eastAsia" w:ascii="宋体" w:hAnsi="宋体" w:eastAsia="宋体" w:cs="宋体"/>
          <w:b w:val="0"/>
          <w:bCs/>
          <w:sz w:val="24"/>
          <w:szCs w:val="24"/>
          <w:lang w:eastAsia="zh-CN"/>
        </w:rPr>
      </w:pPr>
      <w:r>
        <w:rPr>
          <w:rFonts w:hint="eastAsia" w:ascii="宋体" w:hAnsi="宋体" w:eastAsia="宋体" w:cs="宋体"/>
          <w:b w:val="0"/>
          <w:bCs/>
          <w:sz w:val="24"/>
          <w:szCs w:val="24"/>
          <w:lang w:val="en-US" w:eastAsia="zh-CN"/>
        </w:rPr>
        <w:t>（二）项目支出与财务管理方面</w:t>
      </w:r>
    </w:p>
    <w:p>
      <w:pPr>
        <w:keepNext w:val="0"/>
        <w:keepLines w:val="0"/>
        <w:pageBreakBefore w:val="0"/>
        <w:widowControl w:val="0"/>
        <w:kinsoku/>
        <w:wordWrap/>
        <w:overflowPunct/>
        <w:topLinePunct w:val="0"/>
        <w:autoSpaceDE/>
        <w:autoSpaceDN/>
        <w:bidi w:val="0"/>
        <w:adjustRightInd/>
        <w:snapToGrid/>
        <w:spacing w:line="240" w:lineRule="auto"/>
        <w:ind w:firstLine="482" w:firstLineChars="200"/>
        <w:textAlignment w:val="auto"/>
        <w:outlineLvl w:val="9"/>
        <w:rPr>
          <w:rFonts w:hint="eastAsia" w:ascii="宋体" w:hAnsi="宋体" w:eastAsia="宋体" w:cs="宋体"/>
          <w:b/>
          <w:bCs w:val="0"/>
          <w:sz w:val="24"/>
          <w:szCs w:val="24"/>
          <w:lang w:val="en-US" w:eastAsia="zh-CN"/>
        </w:rPr>
      </w:pPr>
      <w:r>
        <w:rPr>
          <w:rFonts w:hint="eastAsia" w:ascii="宋体" w:hAnsi="宋体" w:eastAsia="宋体" w:cs="宋体"/>
          <w:b/>
          <w:bCs w:val="0"/>
          <w:sz w:val="24"/>
          <w:szCs w:val="24"/>
          <w:lang w:val="en-US" w:eastAsia="zh-CN"/>
        </w:rPr>
        <w:t>四、有关建议</w:t>
      </w:r>
    </w:p>
    <w:p>
      <w:pPr>
        <w:keepNext w:val="0"/>
        <w:keepLines w:val="0"/>
        <w:pageBreakBefore w:val="0"/>
        <w:widowControl w:val="0"/>
        <w:kinsoku/>
        <w:wordWrap/>
        <w:overflowPunct/>
        <w:topLinePunct w:val="0"/>
        <w:bidi w:val="0"/>
        <w:snapToGrid/>
        <w:spacing w:line="360" w:lineRule="auto"/>
        <w:ind w:firstLine="482" w:firstLineChars="200"/>
        <w:textAlignment w:val="auto"/>
        <w:outlineLvl w:val="9"/>
        <w:rPr>
          <w:rFonts w:hint="eastAsia" w:ascii="宋体" w:hAnsi="宋体" w:eastAsia="宋体" w:cs="宋体"/>
          <w:b/>
          <w:bCs w:val="0"/>
          <w:sz w:val="24"/>
          <w:szCs w:val="24"/>
          <w:lang w:val="en-US" w:eastAsia="zh-CN"/>
        </w:rPr>
      </w:pPr>
      <w:r>
        <w:rPr>
          <w:rFonts w:hint="eastAsia" w:ascii="宋体" w:hAnsi="宋体" w:eastAsia="宋体" w:cs="宋体"/>
          <w:b/>
          <w:bCs w:val="0"/>
          <w:sz w:val="24"/>
          <w:szCs w:val="24"/>
          <w:lang w:val="en-US" w:eastAsia="zh-CN"/>
        </w:rPr>
        <w:t>五、其他需要说明的问题</w:t>
      </w:r>
    </w:p>
    <w:p>
      <w:pPr>
        <w:tabs>
          <w:tab w:val="left" w:pos="2835"/>
          <w:tab w:val="left" w:pos="4725"/>
        </w:tabs>
        <w:spacing w:line="940" w:lineRule="exact"/>
        <w:jc w:val="both"/>
        <w:outlineLvl w:val="1"/>
        <w:rPr>
          <w:rFonts w:hint="eastAsia" w:ascii="黑体" w:hAnsi="宋体" w:eastAsia="黑体"/>
          <w:spacing w:val="-16"/>
          <w:w w:val="66"/>
          <w:sz w:val="96"/>
          <w:szCs w:val="96"/>
          <w:lang w:eastAsia="zh-CN"/>
        </w:rPr>
      </w:pPr>
    </w:p>
    <w:p>
      <w:pPr>
        <w:tabs>
          <w:tab w:val="left" w:pos="2835"/>
          <w:tab w:val="left" w:pos="4725"/>
        </w:tabs>
        <w:spacing w:line="940" w:lineRule="exact"/>
        <w:jc w:val="center"/>
        <w:outlineLvl w:val="1"/>
        <w:rPr>
          <w:rFonts w:hint="eastAsia" w:ascii="黑体" w:hAnsi="宋体" w:eastAsia="黑体"/>
          <w:spacing w:val="-16"/>
          <w:w w:val="66"/>
          <w:sz w:val="96"/>
          <w:szCs w:val="96"/>
          <w:lang w:eastAsia="zh-CN"/>
        </w:rPr>
      </w:pPr>
      <w:r>
        <w:rPr>
          <w:rFonts w:hint="eastAsia" w:ascii="黑体" w:hAnsi="宋体" w:eastAsia="黑体"/>
          <w:spacing w:val="-16"/>
          <w:w w:val="66"/>
          <w:sz w:val="96"/>
          <w:szCs w:val="96"/>
          <w:lang w:eastAsia="zh-CN"/>
        </w:rPr>
        <w:t>湖南公众会计师事务所有限公司</w:t>
      </w:r>
    </w:p>
    <w:p>
      <w:pPr>
        <w:keepNext/>
        <w:snapToGrid w:val="0"/>
        <w:spacing w:line="240" w:lineRule="atLeast"/>
        <w:jc w:val="center"/>
        <w:outlineLvl w:val="0"/>
        <w:rPr>
          <w:rFonts w:ascii="黑体" w:hAnsi="Times New Roman"/>
          <w:b/>
          <w:bCs/>
          <w:w w:val="80"/>
          <w:sz w:val="28"/>
        </w:rPr>
      </w:pPr>
      <w:r>
        <w:rPr>
          <w:rFonts w:hint="eastAsia" w:ascii="宋体" w:hAnsi="宋体"/>
          <w:b/>
          <w:bCs/>
          <w:sz w:val="26"/>
        </w:rPr>
        <w:t>HUNAN GONGZHONG CERTIFIED PUBLIC ACCOUNTANTS CO.LTD</w:t>
      </w:r>
    </w:p>
    <w:p>
      <w:pPr>
        <w:adjustRightInd w:val="0"/>
        <w:snapToGrid w:val="0"/>
        <w:spacing w:line="760" w:lineRule="exact"/>
        <w:jc w:val="center"/>
        <w:outlineLvl w:val="0"/>
        <w:rPr>
          <w:rFonts w:hint="eastAsia" w:ascii="楷体_GB2312" w:hAnsi="宋体" w:eastAsia="楷体_GB2312"/>
          <w:b/>
          <w:spacing w:val="20"/>
          <w:sz w:val="36"/>
          <w:szCs w:val="36"/>
          <w:highlight w:val="none"/>
          <w:lang w:eastAsia="zh-CN"/>
        </w:rPr>
      </w:pPr>
      <w:r>
        <w:rPr>
          <w:rFonts w:hint="eastAsia" w:ascii="楷体_GB2312" w:hAnsi="宋体" w:eastAsia="楷体_GB2312"/>
          <w:b/>
          <w:spacing w:val="20"/>
          <w:sz w:val="36"/>
          <w:szCs w:val="36"/>
          <w:lang w:eastAsia="zh-CN"/>
        </w:rPr>
        <w:t>湘公会</w:t>
      </w:r>
      <w:r>
        <w:rPr>
          <w:rFonts w:hint="eastAsia" w:ascii="楷体_GB2312" w:hAnsi="宋体" w:eastAsia="楷体_GB2312"/>
          <w:b/>
          <w:spacing w:val="20"/>
          <w:sz w:val="36"/>
          <w:szCs w:val="36"/>
          <w:highlight w:val="none"/>
          <w:lang w:eastAsia="zh-CN"/>
        </w:rPr>
        <w:t>司（</w:t>
      </w:r>
      <w:r>
        <w:rPr>
          <w:rFonts w:hint="eastAsia" w:ascii="楷体_GB2312" w:hAnsi="宋体" w:eastAsia="楷体_GB2312"/>
          <w:b/>
          <w:spacing w:val="20"/>
          <w:sz w:val="36"/>
          <w:szCs w:val="36"/>
          <w:highlight w:val="none"/>
          <w:lang w:val="en-US" w:eastAsia="zh-CN"/>
        </w:rPr>
        <w:t>绩）</w:t>
      </w:r>
      <w:r>
        <w:rPr>
          <w:rFonts w:hint="eastAsia" w:ascii="楷体_GB2312" w:hAnsi="宋体" w:eastAsia="楷体_GB2312"/>
          <w:b/>
          <w:spacing w:val="20"/>
          <w:sz w:val="36"/>
          <w:szCs w:val="36"/>
          <w:highlight w:val="none"/>
          <w:lang w:eastAsia="zh-CN"/>
        </w:rPr>
        <w:t>字[2023]第 号</w:t>
      </w:r>
    </w:p>
    <w:p>
      <w:pPr>
        <w:adjustRightInd w:val="0"/>
        <w:snapToGrid w:val="0"/>
        <w:spacing w:line="760" w:lineRule="exact"/>
        <w:jc w:val="center"/>
        <w:outlineLvl w:val="0"/>
        <w:rPr>
          <w:rFonts w:hint="default"/>
          <w:lang w:val="en-US" w:eastAsia="zh-CN"/>
        </w:rPr>
      </w:pPr>
      <w:r>
        <w:rPr>
          <w:rFonts w:hint="eastAsia" w:ascii="宋体" w:hAnsi="宋体" w:cs="宋体"/>
          <w:b/>
          <w:bCs w:val="0"/>
          <w:sz w:val="32"/>
          <w:szCs w:val="32"/>
          <w:lang w:val="en-US" w:eastAsia="zh-CN"/>
        </w:rPr>
        <w:t xml:space="preserve">  云溪区就业服务中心2022年度就业补助资金</w:t>
      </w:r>
    </w:p>
    <w:p>
      <w:pPr>
        <w:spacing w:line="760" w:lineRule="exact"/>
        <w:jc w:val="center"/>
        <w:outlineLvl w:val="0"/>
        <w:rPr>
          <w:rFonts w:hint="eastAsia" w:ascii="黑体" w:hAnsi="宋体" w:eastAsia="黑体"/>
          <w:b/>
          <w:sz w:val="44"/>
        </w:rPr>
      </w:pPr>
      <w:r>
        <w:rPr>
          <w:rFonts w:hint="eastAsia" w:ascii="黑体" w:hAnsi="宋体" w:eastAsia="黑体"/>
          <w:b/>
          <w:sz w:val="44"/>
          <w:lang w:eastAsia="zh-CN"/>
        </w:rPr>
        <w:t>重点</w:t>
      </w:r>
      <w:r>
        <w:rPr>
          <w:rFonts w:hint="eastAsia" w:ascii="黑体" w:hAnsi="宋体" w:eastAsia="黑体"/>
          <w:b/>
          <w:sz w:val="44"/>
        </w:rPr>
        <w:t>绩效评价报告</w:t>
      </w:r>
    </w:p>
    <w:p>
      <w:pPr>
        <w:numPr>
          <w:ilvl w:val="0"/>
          <w:numId w:val="0"/>
        </w:numPr>
        <w:autoSpaceDE w:val="0"/>
        <w:autoSpaceDN w:val="0"/>
        <w:adjustRightInd w:val="0"/>
        <w:ind w:firstLine="640" w:firstLineChars="200"/>
        <w:rPr>
          <w:rFonts w:hint="eastAsia" w:ascii="仿宋_GB2312" w:hAnsi="仿宋_GB2312" w:eastAsia="仿宋_GB2312" w:cs="仿宋_GB2312"/>
          <w:kern w:val="0"/>
          <w:sz w:val="32"/>
          <w:szCs w:val="32"/>
          <w:lang w:val="en-US" w:eastAsia="zh-CN" w:bidi="ar-SA"/>
        </w:rPr>
      </w:pPr>
    </w:p>
    <w:p>
      <w:pPr>
        <w:keepNext w:val="0"/>
        <w:keepLines w:val="0"/>
        <w:pageBreakBefore w:val="0"/>
        <w:numPr>
          <w:ilvl w:val="0"/>
          <w:numId w:val="0"/>
        </w:numPr>
        <w:kinsoku/>
        <w:wordWrap/>
        <w:overflowPunct/>
        <w:topLinePunct w:val="0"/>
        <w:autoSpaceDE w:val="0"/>
        <w:autoSpaceDN w:val="0"/>
        <w:bidi w:val="0"/>
        <w:adjustRightInd w:val="0"/>
        <w:snapToGrid/>
        <w:spacing w:line="15" w:lineRule="auto"/>
        <w:textAlignment w:val="auto"/>
        <w:rPr>
          <w:rFonts w:hint="eastAsia" w:asciiTheme="minorEastAsia" w:hAnsiTheme="minorEastAsia" w:eastAsiaTheme="minorEastAsia" w:cstheme="minorEastAsia"/>
          <w:kern w:val="0"/>
          <w:sz w:val="28"/>
          <w:szCs w:val="28"/>
          <w:lang w:val="en-US" w:eastAsia="zh-CN" w:bidi="ar-SA"/>
        </w:rPr>
      </w:pPr>
      <w:r>
        <w:rPr>
          <w:rFonts w:hint="eastAsia" w:asciiTheme="minorEastAsia" w:hAnsiTheme="minorEastAsia" w:eastAsiaTheme="minorEastAsia" w:cstheme="minorEastAsia"/>
          <w:kern w:val="0"/>
          <w:sz w:val="28"/>
          <w:szCs w:val="28"/>
          <w:lang w:val="en-US" w:eastAsia="zh-CN" w:bidi="ar-SA"/>
        </w:rPr>
        <w:t>云溪区财政局：</w:t>
      </w:r>
    </w:p>
    <w:p>
      <w:pPr>
        <w:keepNext w:val="0"/>
        <w:keepLines w:val="0"/>
        <w:pageBreakBefore w:val="0"/>
        <w:numPr>
          <w:ilvl w:val="0"/>
          <w:numId w:val="0"/>
        </w:numPr>
        <w:kinsoku/>
        <w:wordWrap/>
        <w:overflowPunct/>
        <w:topLinePunct w:val="0"/>
        <w:autoSpaceDE w:val="0"/>
        <w:autoSpaceDN w:val="0"/>
        <w:bidi w:val="0"/>
        <w:adjustRightInd w:val="0"/>
        <w:snapToGrid/>
        <w:spacing w:line="15" w:lineRule="auto"/>
        <w:ind w:firstLine="560" w:firstLineChars="200"/>
        <w:textAlignment w:val="auto"/>
        <w:rPr>
          <w:rFonts w:hint="eastAsia" w:asciiTheme="minorEastAsia" w:hAnsiTheme="minorEastAsia" w:eastAsiaTheme="minorEastAsia" w:cstheme="minorEastAsia"/>
          <w:kern w:val="0"/>
          <w:sz w:val="28"/>
          <w:szCs w:val="28"/>
          <w:lang w:val="en-US" w:eastAsia="zh-CN" w:bidi="ar-SA"/>
        </w:rPr>
      </w:pPr>
      <w:r>
        <w:rPr>
          <w:rFonts w:hint="eastAsia" w:asciiTheme="minorEastAsia" w:hAnsiTheme="minorEastAsia" w:eastAsiaTheme="minorEastAsia" w:cstheme="minorEastAsia"/>
          <w:kern w:val="0"/>
          <w:sz w:val="28"/>
          <w:szCs w:val="28"/>
          <w:lang w:val="en-US" w:eastAsia="zh-CN" w:bidi="ar-SA"/>
        </w:rPr>
        <w:t>我们接受委托，对岳阳市云溪区就业服务中心（以下简称：“就业服务中心”）组织实施的“2022年度就业补助资金”（以下称“项目”）的项目支出实施绩效评价。</w:t>
      </w:r>
    </w:p>
    <w:p>
      <w:pPr>
        <w:keepNext w:val="0"/>
        <w:keepLines w:val="0"/>
        <w:pageBreakBefore w:val="0"/>
        <w:numPr>
          <w:ilvl w:val="0"/>
          <w:numId w:val="0"/>
        </w:numPr>
        <w:kinsoku/>
        <w:wordWrap/>
        <w:overflowPunct/>
        <w:topLinePunct w:val="0"/>
        <w:autoSpaceDE w:val="0"/>
        <w:autoSpaceDN w:val="0"/>
        <w:bidi w:val="0"/>
        <w:adjustRightInd w:val="0"/>
        <w:snapToGrid/>
        <w:spacing w:line="15" w:lineRule="auto"/>
        <w:ind w:firstLine="560" w:firstLineChars="200"/>
        <w:textAlignment w:val="auto"/>
        <w:rPr>
          <w:rFonts w:hint="eastAsia" w:asciiTheme="minorEastAsia" w:hAnsiTheme="minorEastAsia" w:eastAsiaTheme="minorEastAsia" w:cstheme="minorEastAsia"/>
          <w:kern w:val="0"/>
          <w:sz w:val="28"/>
          <w:szCs w:val="28"/>
          <w:lang w:val="en-US" w:eastAsia="zh-CN" w:bidi="ar-SA"/>
        </w:rPr>
      </w:pPr>
      <w:r>
        <w:rPr>
          <w:rFonts w:hint="eastAsia" w:asciiTheme="minorEastAsia" w:hAnsiTheme="minorEastAsia" w:eastAsiaTheme="minorEastAsia" w:cstheme="minorEastAsia"/>
          <w:kern w:val="0"/>
          <w:sz w:val="28"/>
          <w:szCs w:val="28"/>
          <w:lang w:val="en-US" w:eastAsia="zh-CN" w:bidi="ar-SA"/>
        </w:rPr>
        <w:t xml:space="preserve">就业服务中心应当对其所提供的项目绩效评价资料的真实性、合法性和完整性负责。我们的责任是对这些资料发表绩效评价意见。我们的绩效评价意见是根据财政部《财政支出绩效评价管理暂行办法》、中国注册会计师协会《会计师事务所财政支出绩效评价业务指引》等有关文件要求进行的。在绩效评价过程中，我们结合绩效评价项目具体情况及委托要求，对项目资金支出实施绩效评价，现将有关情况报告如下： </w:t>
      </w:r>
    </w:p>
    <w:p>
      <w:pPr>
        <w:keepNext w:val="0"/>
        <w:keepLines w:val="0"/>
        <w:pageBreakBefore w:val="0"/>
        <w:numPr>
          <w:ilvl w:val="0"/>
          <w:numId w:val="0"/>
        </w:numPr>
        <w:kinsoku/>
        <w:wordWrap/>
        <w:overflowPunct/>
        <w:topLinePunct w:val="0"/>
        <w:autoSpaceDE w:val="0"/>
        <w:autoSpaceDN w:val="0"/>
        <w:bidi w:val="0"/>
        <w:adjustRightInd w:val="0"/>
        <w:snapToGrid/>
        <w:spacing w:line="15" w:lineRule="auto"/>
        <w:ind w:firstLine="562" w:firstLineChars="200"/>
        <w:textAlignment w:val="auto"/>
        <w:rPr>
          <w:rFonts w:hint="eastAsia" w:asciiTheme="minorEastAsia" w:hAnsiTheme="minorEastAsia" w:eastAsiaTheme="minorEastAsia" w:cstheme="minorEastAsia"/>
          <w:b/>
          <w:bCs/>
          <w:kern w:val="0"/>
          <w:sz w:val="28"/>
          <w:szCs w:val="28"/>
          <w:lang w:val="en-US" w:eastAsia="zh-CN" w:bidi="ar-SA"/>
        </w:rPr>
      </w:pPr>
      <w:r>
        <w:rPr>
          <w:rFonts w:hint="eastAsia" w:asciiTheme="minorEastAsia" w:hAnsiTheme="minorEastAsia" w:eastAsiaTheme="minorEastAsia" w:cstheme="minorEastAsia"/>
          <w:b/>
          <w:bCs/>
          <w:kern w:val="0"/>
          <w:sz w:val="28"/>
          <w:szCs w:val="28"/>
          <w:lang w:val="en-US" w:eastAsia="zh-CN" w:bidi="ar-SA"/>
        </w:rPr>
        <w:t>一、项目概况</w:t>
      </w:r>
    </w:p>
    <w:p>
      <w:pPr>
        <w:keepNext w:val="0"/>
        <w:keepLines w:val="0"/>
        <w:pageBreakBefore w:val="0"/>
        <w:numPr>
          <w:ilvl w:val="0"/>
          <w:numId w:val="0"/>
        </w:numPr>
        <w:kinsoku/>
        <w:wordWrap/>
        <w:overflowPunct/>
        <w:topLinePunct w:val="0"/>
        <w:autoSpaceDE w:val="0"/>
        <w:autoSpaceDN w:val="0"/>
        <w:bidi w:val="0"/>
        <w:adjustRightInd w:val="0"/>
        <w:snapToGrid/>
        <w:spacing w:line="15" w:lineRule="auto"/>
        <w:ind w:firstLine="562" w:firstLineChars="200"/>
        <w:textAlignment w:val="auto"/>
        <w:rPr>
          <w:rFonts w:hint="eastAsia" w:asciiTheme="minorEastAsia" w:hAnsiTheme="minorEastAsia" w:eastAsiaTheme="minorEastAsia" w:cstheme="minorEastAsia"/>
          <w:b/>
          <w:bCs/>
          <w:kern w:val="0"/>
          <w:sz w:val="28"/>
          <w:szCs w:val="28"/>
          <w:lang w:val="en-US" w:eastAsia="zh-CN" w:bidi="ar-SA"/>
        </w:rPr>
      </w:pPr>
      <w:r>
        <w:rPr>
          <w:rFonts w:hint="eastAsia" w:asciiTheme="minorEastAsia" w:hAnsiTheme="minorEastAsia" w:eastAsiaTheme="minorEastAsia" w:cstheme="minorEastAsia"/>
          <w:b/>
          <w:bCs/>
          <w:kern w:val="0"/>
          <w:sz w:val="28"/>
          <w:szCs w:val="28"/>
          <w:lang w:val="en-US" w:eastAsia="zh-CN" w:bidi="ar-SA"/>
        </w:rPr>
        <w:t>（一）项目评价依据</w:t>
      </w:r>
    </w:p>
    <w:p>
      <w:pPr>
        <w:keepNext w:val="0"/>
        <w:keepLines w:val="0"/>
        <w:pageBreakBefore w:val="0"/>
        <w:numPr>
          <w:ilvl w:val="0"/>
          <w:numId w:val="0"/>
        </w:numPr>
        <w:kinsoku/>
        <w:wordWrap/>
        <w:overflowPunct/>
        <w:topLinePunct w:val="0"/>
        <w:autoSpaceDE w:val="0"/>
        <w:autoSpaceDN w:val="0"/>
        <w:bidi w:val="0"/>
        <w:adjustRightInd w:val="0"/>
        <w:snapToGrid/>
        <w:spacing w:line="15" w:lineRule="auto"/>
        <w:ind w:firstLine="560" w:firstLineChars="200"/>
        <w:textAlignment w:val="auto"/>
        <w:rPr>
          <w:rFonts w:hint="default" w:asciiTheme="minorEastAsia" w:hAnsiTheme="minorEastAsia" w:eastAsiaTheme="minorEastAsia" w:cstheme="minorEastAsia"/>
          <w:kern w:val="0"/>
          <w:sz w:val="28"/>
          <w:szCs w:val="28"/>
          <w:highlight w:val="none"/>
          <w:lang w:val="en-US" w:eastAsia="zh-CN" w:bidi="ar-SA"/>
        </w:rPr>
      </w:pPr>
      <w:r>
        <w:rPr>
          <w:rFonts w:hint="eastAsia" w:asciiTheme="minorEastAsia" w:hAnsiTheme="minorEastAsia" w:eastAsiaTheme="minorEastAsia" w:cstheme="minorEastAsia"/>
          <w:kern w:val="0"/>
          <w:sz w:val="28"/>
          <w:szCs w:val="28"/>
          <w:highlight w:val="none"/>
          <w:lang w:val="en-US" w:eastAsia="zh-CN" w:bidi="ar-SA"/>
        </w:rPr>
        <w:t>1、《岳阳市云溪区财政局关于全面开展2023年财政资金绩效评价工作的通知》文件（以下简称《通知》）。</w:t>
      </w:r>
    </w:p>
    <w:p>
      <w:pPr>
        <w:keepNext w:val="0"/>
        <w:keepLines w:val="0"/>
        <w:pageBreakBefore w:val="0"/>
        <w:numPr>
          <w:ilvl w:val="0"/>
          <w:numId w:val="0"/>
        </w:numPr>
        <w:kinsoku/>
        <w:wordWrap/>
        <w:overflowPunct/>
        <w:topLinePunct w:val="0"/>
        <w:autoSpaceDE w:val="0"/>
        <w:autoSpaceDN w:val="0"/>
        <w:bidi w:val="0"/>
        <w:adjustRightInd w:val="0"/>
        <w:snapToGrid/>
        <w:spacing w:line="15" w:lineRule="auto"/>
        <w:ind w:firstLine="560" w:firstLineChars="200"/>
        <w:textAlignment w:val="auto"/>
        <w:rPr>
          <w:rFonts w:hint="eastAsia" w:asciiTheme="minorEastAsia" w:hAnsiTheme="minorEastAsia" w:eastAsiaTheme="minorEastAsia" w:cstheme="minorEastAsia"/>
          <w:kern w:val="0"/>
          <w:sz w:val="28"/>
          <w:szCs w:val="28"/>
          <w:highlight w:val="none"/>
          <w:lang w:val="en-US" w:eastAsia="zh-CN" w:bidi="ar-SA"/>
        </w:rPr>
      </w:pPr>
      <w:r>
        <w:rPr>
          <w:rFonts w:hint="eastAsia" w:asciiTheme="minorEastAsia" w:hAnsiTheme="minorEastAsia" w:eastAsiaTheme="minorEastAsia" w:cstheme="minorEastAsia"/>
          <w:kern w:val="0"/>
          <w:sz w:val="28"/>
          <w:szCs w:val="28"/>
          <w:highlight w:val="none"/>
          <w:lang w:val="en-US" w:eastAsia="zh-CN" w:bidi="ar-SA"/>
        </w:rPr>
        <w:t>2、《岳阳市预算绩效管理实施办法》（岳办发〔2020〕4号）</w:t>
      </w:r>
    </w:p>
    <w:p>
      <w:pPr>
        <w:keepNext w:val="0"/>
        <w:keepLines w:val="0"/>
        <w:pageBreakBefore w:val="0"/>
        <w:numPr>
          <w:ilvl w:val="0"/>
          <w:numId w:val="0"/>
        </w:numPr>
        <w:kinsoku/>
        <w:wordWrap/>
        <w:overflowPunct/>
        <w:topLinePunct w:val="0"/>
        <w:autoSpaceDE w:val="0"/>
        <w:autoSpaceDN w:val="0"/>
        <w:bidi w:val="0"/>
        <w:adjustRightInd w:val="0"/>
        <w:snapToGrid/>
        <w:spacing w:line="15" w:lineRule="auto"/>
        <w:ind w:firstLine="560" w:firstLineChars="200"/>
        <w:textAlignment w:val="auto"/>
        <w:rPr>
          <w:rFonts w:hint="eastAsia" w:asciiTheme="minorEastAsia" w:hAnsiTheme="minorEastAsia" w:eastAsiaTheme="minorEastAsia" w:cstheme="minorEastAsia"/>
          <w:kern w:val="0"/>
          <w:sz w:val="28"/>
          <w:szCs w:val="28"/>
          <w:lang w:val="en-US" w:eastAsia="zh-CN" w:bidi="ar-SA"/>
        </w:rPr>
      </w:pPr>
      <w:r>
        <w:rPr>
          <w:rFonts w:hint="eastAsia" w:asciiTheme="minorEastAsia" w:hAnsiTheme="minorEastAsia" w:eastAsiaTheme="minorEastAsia" w:cstheme="minorEastAsia"/>
          <w:kern w:val="0"/>
          <w:sz w:val="28"/>
          <w:szCs w:val="28"/>
          <w:highlight w:val="none"/>
          <w:lang w:val="en-US" w:eastAsia="zh-CN" w:bidi="ar-SA"/>
        </w:rPr>
        <w:t>3、《行政事业单位财务管理制度》等相</w:t>
      </w:r>
      <w:r>
        <w:rPr>
          <w:rFonts w:hint="eastAsia" w:asciiTheme="minorEastAsia" w:hAnsiTheme="minorEastAsia" w:eastAsiaTheme="minorEastAsia" w:cstheme="minorEastAsia"/>
          <w:kern w:val="0"/>
          <w:sz w:val="28"/>
          <w:szCs w:val="28"/>
          <w:lang w:val="en-US" w:eastAsia="zh-CN" w:bidi="ar-SA"/>
        </w:rPr>
        <w:t>关规定。</w:t>
      </w:r>
    </w:p>
    <w:p>
      <w:pPr>
        <w:keepNext w:val="0"/>
        <w:keepLines w:val="0"/>
        <w:pageBreakBefore w:val="0"/>
        <w:numPr>
          <w:ilvl w:val="0"/>
          <w:numId w:val="0"/>
        </w:numPr>
        <w:kinsoku/>
        <w:wordWrap/>
        <w:overflowPunct/>
        <w:topLinePunct w:val="0"/>
        <w:autoSpaceDE w:val="0"/>
        <w:autoSpaceDN w:val="0"/>
        <w:bidi w:val="0"/>
        <w:adjustRightInd w:val="0"/>
        <w:snapToGrid/>
        <w:spacing w:line="15" w:lineRule="auto"/>
        <w:ind w:firstLine="560" w:firstLineChars="200"/>
        <w:textAlignment w:val="auto"/>
        <w:rPr>
          <w:rFonts w:hint="eastAsia" w:asciiTheme="minorEastAsia" w:hAnsiTheme="minorEastAsia" w:eastAsiaTheme="minorEastAsia" w:cstheme="minorEastAsia"/>
          <w:kern w:val="0"/>
          <w:sz w:val="28"/>
          <w:szCs w:val="28"/>
          <w:lang w:val="en-US" w:eastAsia="zh-CN" w:bidi="ar-SA"/>
        </w:rPr>
      </w:pPr>
      <w:r>
        <w:rPr>
          <w:rFonts w:hint="eastAsia" w:asciiTheme="minorEastAsia" w:hAnsiTheme="minorEastAsia" w:eastAsiaTheme="minorEastAsia" w:cstheme="minorEastAsia"/>
          <w:kern w:val="0"/>
          <w:sz w:val="28"/>
          <w:szCs w:val="28"/>
          <w:lang w:val="en-US" w:eastAsia="zh-CN" w:bidi="ar-SA"/>
        </w:rPr>
        <w:t>4、项目单位绩效自评资料、年度工作总结、财务资料等其他相关资料。</w:t>
      </w:r>
    </w:p>
    <w:p>
      <w:pPr>
        <w:pStyle w:val="34"/>
        <w:rPr>
          <w:rFonts w:hint="default"/>
          <w:lang w:val="en-US" w:eastAsia="zh-CN"/>
        </w:rPr>
      </w:pPr>
    </w:p>
    <w:p>
      <w:pPr>
        <w:keepNext w:val="0"/>
        <w:keepLines w:val="0"/>
        <w:pageBreakBefore w:val="0"/>
        <w:numPr>
          <w:ilvl w:val="0"/>
          <w:numId w:val="0"/>
        </w:numPr>
        <w:kinsoku/>
        <w:wordWrap/>
        <w:overflowPunct/>
        <w:topLinePunct w:val="0"/>
        <w:autoSpaceDE w:val="0"/>
        <w:autoSpaceDN w:val="0"/>
        <w:bidi w:val="0"/>
        <w:adjustRightInd w:val="0"/>
        <w:snapToGrid/>
        <w:spacing w:line="15" w:lineRule="auto"/>
        <w:ind w:firstLine="562" w:firstLineChars="200"/>
        <w:textAlignment w:val="auto"/>
        <w:rPr>
          <w:rFonts w:hint="eastAsia" w:asciiTheme="minorEastAsia" w:hAnsiTheme="minorEastAsia" w:eastAsiaTheme="minorEastAsia" w:cstheme="minorEastAsia"/>
          <w:b/>
          <w:bCs/>
          <w:kern w:val="0"/>
          <w:sz w:val="28"/>
          <w:szCs w:val="28"/>
          <w:lang w:val="zh-CN" w:eastAsia="zh-CN" w:bidi="ar-SA"/>
        </w:rPr>
      </w:pPr>
      <w:r>
        <w:rPr>
          <w:rFonts w:hint="eastAsia" w:asciiTheme="minorEastAsia" w:hAnsiTheme="minorEastAsia" w:eastAsiaTheme="minorEastAsia" w:cstheme="minorEastAsia"/>
          <w:b/>
          <w:bCs/>
          <w:kern w:val="0"/>
          <w:sz w:val="28"/>
          <w:szCs w:val="28"/>
          <w:lang w:val="zh-CN" w:eastAsia="zh-CN" w:bidi="ar-SA"/>
        </w:rPr>
        <w:t>（二）项目单位基本情况</w:t>
      </w:r>
    </w:p>
    <w:p>
      <w:pPr>
        <w:ind w:firstLine="560" w:firstLineChars="200"/>
        <w:rPr>
          <w:rFonts w:hint="eastAsia" w:asciiTheme="minorEastAsia" w:hAnsiTheme="minorEastAsia" w:eastAsiaTheme="minorEastAsia" w:cstheme="minorEastAsia"/>
          <w:kern w:val="0"/>
          <w:sz w:val="28"/>
          <w:szCs w:val="28"/>
          <w:lang w:val="en-US" w:eastAsia="zh-CN" w:bidi="ar-SA"/>
        </w:rPr>
      </w:pPr>
      <w:r>
        <w:rPr>
          <w:rFonts w:hint="eastAsia" w:asciiTheme="minorEastAsia" w:hAnsiTheme="minorEastAsia" w:eastAsiaTheme="minorEastAsia" w:cstheme="minorEastAsia"/>
          <w:kern w:val="0"/>
          <w:sz w:val="28"/>
          <w:szCs w:val="28"/>
          <w:lang w:val="en-US" w:eastAsia="zh-CN" w:bidi="ar-SA"/>
        </w:rPr>
        <w:t>云溪区就业服务中心是区就业服务中心所属公益类事业机构，为副科级。主要职责是：负责贯彻实施失业保险政策，负责失业保险基金征缴、支付运营和管理工作，负责失业保险基金征缴稽核；开展区域内劳动力市场管理工作，规范劳动力市场用工和就业行为，收集用人供求信息，组织开展职业指导、职业介绍和劳务输出工作；负责辖区内失业人员登记和就业失业登记证的发放；负责下岗职工和失业人员转岗技能培训、农村转移就业人员和城镇待业人员的职业培训和创业培训；负责技术工种人员职业技能鉴定和培训；负责建立健全社区就业创业服务平台，指导开展就业创业服务工作；负责宣传就业创业优惠政策，负责落实各项就业创业优惠政策，开发公益性就业岗位，安置就业困难人员就业。</w:t>
      </w:r>
    </w:p>
    <w:p>
      <w:pPr>
        <w:ind w:firstLine="548" w:firstLineChars="196"/>
        <w:rPr>
          <w:rFonts w:hint="default" w:asciiTheme="minorEastAsia" w:hAnsiTheme="minorEastAsia" w:eastAsiaTheme="minorEastAsia" w:cstheme="minorEastAsia"/>
          <w:kern w:val="0"/>
          <w:sz w:val="28"/>
          <w:szCs w:val="28"/>
          <w:lang w:val="en-US" w:eastAsia="zh-CN" w:bidi="ar-SA"/>
        </w:rPr>
      </w:pPr>
      <w:r>
        <w:rPr>
          <w:rFonts w:hint="eastAsia" w:asciiTheme="minorEastAsia" w:hAnsiTheme="minorEastAsia" w:eastAsiaTheme="minorEastAsia" w:cstheme="minorEastAsia"/>
          <w:kern w:val="0"/>
          <w:sz w:val="28"/>
          <w:szCs w:val="28"/>
          <w:lang w:val="en-US" w:eastAsia="zh-CN" w:bidi="ar-SA"/>
        </w:rPr>
        <w:t>根据上述主要职责，区就业服务中心设办公室、失业保险股、城镇社区就业服务股、创业服务股(创业贷款担保中心)、劳动力市场管理股（职业介绍中心）、职业培训和职业技能鉴定股（培训中心）等6个内设机构。核定全额拨款事业编制12名，设主任1名，副主任2名，内设机构负责人（副股级）6名。</w:t>
      </w:r>
    </w:p>
    <w:p>
      <w:pPr>
        <w:keepNext w:val="0"/>
        <w:keepLines w:val="0"/>
        <w:pageBreakBefore w:val="0"/>
        <w:numPr>
          <w:ilvl w:val="0"/>
          <w:numId w:val="0"/>
        </w:numPr>
        <w:kinsoku/>
        <w:wordWrap/>
        <w:overflowPunct/>
        <w:topLinePunct w:val="0"/>
        <w:autoSpaceDE w:val="0"/>
        <w:autoSpaceDN w:val="0"/>
        <w:bidi w:val="0"/>
        <w:adjustRightInd w:val="0"/>
        <w:snapToGrid/>
        <w:spacing w:line="15" w:lineRule="auto"/>
        <w:ind w:firstLine="562" w:firstLineChars="200"/>
        <w:textAlignment w:val="auto"/>
        <w:rPr>
          <w:rFonts w:hint="eastAsia" w:asciiTheme="minorEastAsia" w:hAnsiTheme="minorEastAsia" w:eastAsiaTheme="minorEastAsia" w:cstheme="minorEastAsia"/>
          <w:b/>
          <w:bCs/>
          <w:kern w:val="0"/>
          <w:sz w:val="28"/>
          <w:szCs w:val="28"/>
          <w:lang w:val="zh-CN" w:eastAsia="zh-CN" w:bidi="ar-SA"/>
        </w:rPr>
      </w:pPr>
      <w:r>
        <w:rPr>
          <w:rFonts w:hint="eastAsia" w:asciiTheme="minorEastAsia" w:hAnsiTheme="minorEastAsia" w:eastAsiaTheme="minorEastAsia" w:cstheme="minorEastAsia"/>
          <w:b/>
          <w:bCs/>
          <w:kern w:val="0"/>
          <w:sz w:val="28"/>
          <w:szCs w:val="28"/>
          <w:lang w:val="zh-CN" w:eastAsia="zh-CN" w:bidi="ar-SA"/>
        </w:rPr>
        <w:t>（三）项目基本情况</w:t>
      </w:r>
    </w:p>
    <w:p>
      <w:pPr>
        <w:keepNext w:val="0"/>
        <w:keepLines w:val="0"/>
        <w:pageBreakBefore w:val="0"/>
        <w:numPr>
          <w:ilvl w:val="0"/>
          <w:numId w:val="0"/>
        </w:numPr>
        <w:kinsoku/>
        <w:wordWrap/>
        <w:overflowPunct/>
        <w:topLinePunct w:val="0"/>
        <w:autoSpaceDE w:val="0"/>
        <w:autoSpaceDN w:val="0"/>
        <w:bidi w:val="0"/>
        <w:adjustRightInd w:val="0"/>
        <w:snapToGrid/>
        <w:spacing w:line="15" w:lineRule="auto"/>
        <w:ind w:firstLine="560" w:firstLineChars="200"/>
        <w:textAlignment w:val="auto"/>
        <w:rPr>
          <w:rFonts w:hint="eastAsia" w:asciiTheme="minorEastAsia" w:hAnsiTheme="minorEastAsia" w:eastAsiaTheme="minorEastAsia" w:cstheme="minorEastAsia"/>
          <w:kern w:val="0"/>
          <w:sz w:val="28"/>
          <w:szCs w:val="28"/>
          <w:lang w:val="en-US" w:eastAsia="zh-CN" w:bidi="ar-SA"/>
        </w:rPr>
      </w:pPr>
      <w:r>
        <w:rPr>
          <w:rFonts w:hint="eastAsia" w:asciiTheme="minorEastAsia" w:hAnsiTheme="minorEastAsia" w:eastAsiaTheme="minorEastAsia" w:cstheme="minorEastAsia"/>
          <w:kern w:val="0"/>
          <w:sz w:val="28"/>
          <w:szCs w:val="28"/>
          <w:lang w:val="en-US" w:eastAsia="zh-CN" w:bidi="ar-SA"/>
        </w:rPr>
        <w:t>1、根据</w:t>
      </w:r>
      <w:r>
        <w:rPr>
          <w:rFonts w:hint="eastAsia" w:asciiTheme="minorEastAsia" w:hAnsiTheme="minorEastAsia" w:eastAsiaTheme="minorEastAsia" w:cstheme="minorEastAsia"/>
          <w:kern w:val="0"/>
          <w:sz w:val="28"/>
          <w:szCs w:val="28"/>
          <w:highlight w:val="none"/>
          <w:lang w:val="en-US" w:eastAsia="zh-CN" w:bidi="ar-SA"/>
        </w:rPr>
        <w:t>云溪区财政局下发的《岳阳市云溪区财政局关于全面开展2023年财政资金绩效评价工作的通知》文件，本项</w:t>
      </w:r>
      <w:r>
        <w:rPr>
          <w:rFonts w:hint="eastAsia" w:asciiTheme="minorEastAsia" w:hAnsiTheme="minorEastAsia" w:eastAsiaTheme="minorEastAsia" w:cstheme="minorEastAsia"/>
          <w:kern w:val="0"/>
          <w:sz w:val="28"/>
          <w:szCs w:val="28"/>
          <w:lang w:val="en-US" w:eastAsia="zh-CN" w:bidi="ar-SA"/>
        </w:rPr>
        <w:t>目绩效评价范围为：2022年度就业补助资金。</w:t>
      </w:r>
    </w:p>
    <w:p>
      <w:pPr>
        <w:ind w:firstLine="548" w:firstLineChars="196"/>
        <w:rPr>
          <w:rFonts w:hint="eastAsia" w:asciiTheme="minorEastAsia" w:hAnsiTheme="minorEastAsia" w:eastAsiaTheme="minorEastAsia" w:cstheme="minorEastAsia"/>
          <w:kern w:val="0"/>
          <w:sz w:val="28"/>
          <w:szCs w:val="28"/>
          <w:lang w:val="en-US" w:eastAsia="zh-CN" w:bidi="ar-SA"/>
        </w:rPr>
      </w:pPr>
      <w:r>
        <w:rPr>
          <w:rFonts w:hint="eastAsia" w:asciiTheme="minorEastAsia" w:hAnsiTheme="minorEastAsia" w:eastAsiaTheme="minorEastAsia" w:cstheme="minorEastAsia"/>
          <w:kern w:val="0"/>
          <w:sz w:val="28"/>
          <w:szCs w:val="28"/>
          <w:lang w:val="en-US" w:eastAsia="zh-CN" w:bidi="ar-SA"/>
        </w:rPr>
        <w:t>2、就业专项资金（简称就业资金）是由县级以上人民政府设立，由本级财政部门会同人力资源和社会保障部门管理，专项用于促进就业创业的资金。就业资金的支出范围：就业资金支出分为对个人和单位的补贴、公共就业服务能力建设补助和其他支出三类。对个人和单位的补贴资金用于职业培训补贴、职业技能鉴定补贴、社会保险补贴、公益性岗位补贴、创业补贴、就业见习补贴、求职创业补贴等支出；公共就业服务能力建设补助资金用于就业创业服务补助和高技能人才培养补助等支出；其他支出为除上述两类支出以外，结合湖南省实际，经省人民政府同意用于促进就业创业方面的支出。</w:t>
      </w:r>
    </w:p>
    <w:p>
      <w:pPr>
        <w:keepNext w:val="0"/>
        <w:keepLines w:val="0"/>
        <w:pageBreakBefore w:val="0"/>
        <w:kinsoku/>
        <w:wordWrap/>
        <w:overflowPunct/>
        <w:topLinePunct w:val="0"/>
        <w:bidi w:val="0"/>
        <w:snapToGrid/>
        <w:spacing w:line="15" w:lineRule="auto"/>
        <w:ind w:firstLine="562" w:firstLineChars="200"/>
        <w:textAlignment w:val="auto"/>
        <w:rPr>
          <w:rFonts w:hint="eastAsia" w:asciiTheme="minorEastAsia" w:hAnsiTheme="minorEastAsia" w:eastAsiaTheme="minorEastAsia" w:cstheme="minorEastAsia"/>
          <w:b/>
          <w:sz w:val="28"/>
          <w:szCs w:val="28"/>
          <w:lang w:val="zh-CN"/>
        </w:rPr>
      </w:pPr>
      <w:r>
        <w:rPr>
          <w:rFonts w:hint="eastAsia" w:asciiTheme="minorEastAsia" w:hAnsiTheme="minorEastAsia" w:eastAsiaTheme="minorEastAsia" w:cstheme="minorEastAsia"/>
          <w:b/>
          <w:sz w:val="28"/>
          <w:szCs w:val="28"/>
          <w:lang w:val="zh-CN"/>
        </w:rPr>
        <w:t>（四）项目绩效目标及项目的主要内容</w:t>
      </w:r>
    </w:p>
    <w:p>
      <w:pPr>
        <w:pStyle w:val="22"/>
        <w:keepNext w:val="0"/>
        <w:keepLines w:val="0"/>
        <w:pageBreakBefore w:val="0"/>
        <w:widowControl/>
        <w:suppressLineNumbers w:val="0"/>
        <w:kinsoku/>
        <w:wordWrap/>
        <w:overflowPunct/>
        <w:topLinePunct w:val="0"/>
        <w:bidi w:val="0"/>
        <w:snapToGrid/>
        <w:spacing w:before="0" w:beforeAutospacing="0" w:after="0" w:afterAutospacing="0" w:line="15" w:lineRule="auto"/>
        <w:ind w:right="0" w:firstLine="562" w:firstLineChars="200"/>
        <w:jc w:val="both"/>
        <w:textAlignment w:val="auto"/>
        <w:rPr>
          <w:rFonts w:hint="eastAsia" w:asciiTheme="minorEastAsia" w:hAnsiTheme="minorEastAsia" w:eastAsiaTheme="minorEastAsia" w:cstheme="minorEastAsia"/>
          <w:b/>
          <w:bCs/>
          <w:sz w:val="28"/>
          <w:szCs w:val="28"/>
          <w:highlight w:val="none"/>
          <w:lang w:val="en-US" w:eastAsia="zh-CN"/>
        </w:rPr>
      </w:pPr>
      <w:r>
        <w:rPr>
          <w:rFonts w:hint="eastAsia" w:asciiTheme="minorEastAsia" w:hAnsiTheme="minorEastAsia" w:eastAsiaTheme="minorEastAsia" w:cstheme="minorEastAsia"/>
          <w:b/>
          <w:bCs/>
          <w:sz w:val="28"/>
          <w:szCs w:val="28"/>
          <w:lang w:val="en-US" w:eastAsia="zh-CN"/>
        </w:rPr>
        <w:t>1、项目总体目标</w:t>
      </w:r>
      <w:r>
        <w:rPr>
          <w:rFonts w:hint="eastAsia" w:asciiTheme="minorEastAsia" w:hAnsiTheme="minorEastAsia" w:eastAsiaTheme="minorEastAsia" w:cstheme="minorEastAsia"/>
          <w:b/>
          <w:bCs/>
          <w:sz w:val="28"/>
          <w:szCs w:val="28"/>
          <w:highlight w:val="none"/>
          <w:lang w:val="en-US" w:eastAsia="zh-CN"/>
        </w:rPr>
        <w:t>：</w:t>
      </w:r>
    </w:p>
    <w:p>
      <w:pPr>
        <w:pStyle w:val="22"/>
        <w:keepNext w:val="0"/>
        <w:keepLines w:val="0"/>
        <w:pageBreakBefore w:val="0"/>
        <w:widowControl/>
        <w:suppressLineNumbers w:val="0"/>
        <w:kinsoku/>
        <w:wordWrap/>
        <w:overflowPunct/>
        <w:topLinePunct w:val="0"/>
        <w:bidi w:val="0"/>
        <w:snapToGrid/>
        <w:spacing w:before="0" w:beforeAutospacing="0" w:after="0" w:afterAutospacing="0" w:line="15" w:lineRule="auto"/>
        <w:ind w:right="0" w:firstLine="280" w:firstLineChars="100"/>
        <w:jc w:val="both"/>
        <w:textAlignment w:val="auto"/>
        <w:rPr>
          <w:rFonts w:hint="eastAsia" w:asciiTheme="minorEastAsia" w:hAnsiTheme="minorEastAsia" w:eastAsiaTheme="minorEastAsia" w:cstheme="minorEastAsia"/>
          <w:bCs/>
          <w:kern w:val="2"/>
          <w:sz w:val="28"/>
          <w:szCs w:val="28"/>
          <w:lang w:val="en-US" w:eastAsia="zh-CN" w:bidi="ar-SA"/>
        </w:rPr>
      </w:pPr>
      <w:r>
        <w:rPr>
          <w:rFonts w:hint="eastAsia" w:asciiTheme="minorEastAsia" w:hAnsiTheme="minorEastAsia" w:eastAsiaTheme="minorEastAsia" w:cstheme="minorEastAsia"/>
          <w:bCs/>
          <w:kern w:val="2"/>
          <w:sz w:val="28"/>
          <w:szCs w:val="28"/>
          <w:lang w:val="en-US" w:eastAsia="zh-CN" w:bidi="ar-SA"/>
        </w:rPr>
        <w:t>（1）落实国家和省普惠性的就业创业政策，重点支持就业困难群体就业创业，适度向经济困难、就业工作任务重的地区倾斜，促进各类劳动者公平就业，推动地区间就业协同发展。</w:t>
      </w:r>
    </w:p>
    <w:p>
      <w:pPr>
        <w:pStyle w:val="22"/>
        <w:keepNext w:val="0"/>
        <w:keepLines w:val="0"/>
        <w:pageBreakBefore w:val="0"/>
        <w:widowControl/>
        <w:suppressLineNumbers w:val="0"/>
        <w:kinsoku/>
        <w:wordWrap/>
        <w:overflowPunct/>
        <w:topLinePunct w:val="0"/>
        <w:bidi w:val="0"/>
        <w:snapToGrid/>
        <w:spacing w:before="0" w:beforeAutospacing="0" w:after="0" w:afterAutospacing="0" w:line="15" w:lineRule="auto"/>
        <w:ind w:right="0" w:firstLine="280" w:firstLineChars="100"/>
        <w:jc w:val="both"/>
        <w:textAlignment w:val="auto"/>
        <w:rPr>
          <w:rFonts w:hint="eastAsia" w:asciiTheme="minorEastAsia" w:hAnsiTheme="minorEastAsia" w:eastAsiaTheme="minorEastAsia" w:cstheme="minorEastAsia"/>
          <w:bCs/>
          <w:kern w:val="2"/>
          <w:sz w:val="28"/>
          <w:szCs w:val="28"/>
          <w:lang w:val="en-US" w:eastAsia="zh-CN" w:bidi="ar-SA"/>
        </w:rPr>
      </w:pPr>
      <w:r>
        <w:rPr>
          <w:rFonts w:hint="eastAsia" w:asciiTheme="minorEastAsia" w:hAnsiTheme="minorEastAsia" w:eastAsiaTheme="minorEastAsia" w:cstheme="minorEastAsia"/>
          <w:bCs/>
          <w:kern w:val="2"/>
          <w:sz w:val="28"/>
          <w:szCs w:val="28"/>
          <w:lang w:val="en-US" w:eastAsia="zh-CN" w:bidi="ar-SA"/>
        </w:rPr>
        <w:t>（2）优化机制设计，奖补结合，充分发挥各级政策执行部门、政策对象等积极性。</w:t>
      </w:r>
    </w:p>
    <w:p>
      <w:pPr>
        <w:pStyle w:val="22"/>
        <w:keepNext w:val="0"/>
        <w:keepLines w:val="0"/>
        <w:pageBreakBefore w:val="0"/>
        <w:widowControl/>
        <w:suppressLineNumbers w:val="0"/>
        <w:kinsoku/>
        <w:wordWrap/>
        <w:overflowPunct/>
        <w:topLinePunct w:val="0"/>
        <w:bidi w:val="0"/>
        <w:snapToGrid/>
        <w:spacing w:before="0" w:beforeAutospacing="0" w:after="0" w:afterAutospacing="0" w:line="15" w:lineRule="auto"/>
        <w:ind w:right="0" w:firstLine="280" w:firstLineChars="100"/>
        <w:jc w:val="both"/>
        <w:textAlignment w:val="auto"/>
        <w:rPr>
          <w:rFonts w:hint="eastAsia" w:asciiTheme="minorEastAsia" w:hAnsiTheme="minorEastAsia" w:eastAsiaTheme="minorEastAsia" w:cstheme="minorEastAsia"/>
          <w:bCs/>
          <w:kern w:val="2"/>
          <w:sz w:val="28"/>
          <w:szCs w:val="28"/>
          <w:lang w:val="en-US" w:eastAsia="zh-CN" w:bidi="ar-SA"/>
        </w:rPr>
      </w:pPr>
      <w:r>
        <w:rPr>
          <w:rFonts w:hint="eastAsia" w:asciiTheme="minorEastAsia" w:hAnsiTheme="minorEastAsia" w:eastAsiaTheme="minorEastAsia" w:cstheme="minorEastAsia"/>
          <w:bCs/>
          <w:kern w:val="2"/>
          <w:sz w:val="28"/>
          <w:szCs w:val="28"/>
          <w:lang w:val="en-US" w:eastAsia="zh-CN" w:bidi="ar-SA"/>
        </w:rPr>
        <w:t>（3）提高政策可操作性和精准性，加强监督与控制，以绩效导向、结果导向强化就业资金管理。</w:t>
      </w:r>
    </w:p>
    <w:p>
      <w:pPr>
        <w:keepNext w:val="0"/>
        <w:keepLines w:val="0"/>
        <w:pageBreakBefore w:val="0"/>
        <w:numPr>
          <w:ilvl w:val="0"/>
          <w:numId w:val="2"/>
        </w:numPr>
        <w:kinsoku/>
        <w:wordWrap/>
        <w:overflowPunct/>
        <w:topLinePunct w:val="0"/>
        <w:bidi w:val="0"/>
        <w:snapToGrid/>
        <w:spacing w:line="15" w:lineRule="auto"/>
        <w:ind w:firstLine="562" w:firstLineChars="20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b/>
          <w:bCs/>
          <w:sz w:val="28"/>
          <w:szCs w:val="28"/>
          <w:lang w:eastAsia="zh-CN"/>
        </w:rPr>
        <w:t>具体目标</w:t>
      </w:r>
    </w:p>
    <w:p>
      <w:pPr>
        <w:keepNext w:val="0"/>
        <w:keepLines w:val="0"/>
        <w:pageBreakBefore w:val="0"/>
        <w:numPr>
          <w:ilvl w:val="0"/>
          <w:numId w:val="3"/>
        </w:numPr>
        <w:kinsoku/>
        <w:wordWrap/>
        <w:overflowPunct/>
        <w:topLinePunct w:val="0"/>
        <w:autoSpaceDE/>
        <w:autoSpaceDN/>
        <w:bidi w:val="0"/>
        <w:adjustRightInd/>
        <w:snapToGrid/>
        <w:spacing w:line="240" w:lineRule="auto"/>
        <w:ind w:firstLine="560" w:firstLineChars="200"/>
        <w:textAlignment w:val="auto"/>
        <w:rPr>
          <w:rFonts w:hint="eastAsia" w:asciiTheme="minorEastAsia" w:hAnsiTheme="minorEastAsia" w:eastAsiaTheme="minorEastAsia" w:cstheme="minorEastAsia"/>
          <w:kern w:val="0"/>
          <w:sz w:val="28"/>
          <w:szCs w:val="28"/>
          <w:lang w:val="en-US" w:eastAsia="zh-CN" w:bidi="ar-SA"/>
        </w:rPr>
      </w:pPr>
      <w:r>
        <w:rPr>
          <w:rFonts w:hint="eastAsia" w:asciiTheme="minorEastAsia" w:hAnsiTheme="minorEastAsia" w:eastAsiaTheme="minorEastAsia" w:cstheme="minorEastAsia"/>
          <w:kern w:val="0"/>
          <w:sz w:val="28"/>
          <w:szCs w:val="28"/>
          <w:lang w:val="en-US" w:eastAsia="zh-CN" w:bidi="ar-SA"/>
        </w:rPr>
        <w:t>确保完成年度城镇新增就业目标任务，指标值：2600人。</w:t>
      </w:r>
    </w:p>
    <w:p>
      <w:pPr>
        <w:keepNext w:val="0"/>
        <w:keepLines w:val="0"/>
        <w:pageBreakBefore w:val="0"/>
        <w:numPr>
          <w:ilvl w:val="0"/>
          <w:numId w:val="3"/>
        </w:numPr>
        <w:kinsoku/>
        <w:wordWrap/>
        <w:overflowPunct/>
        <w:topLinePunct w:val="0"/>
        <w:autoSpaceDE/>
        <w:autoSpaceDN/>
        <w:bidi w:val="0"/>
        <w:adjustRightInd/>
        <w:snapToGrid/>
        <w:spacing w:line="240" w:lineRule="auto"/>
        <w:ind w:firstLine="560" w:firstLineChars="200"/>
        <w:textAlignment w:val="auto"/>
        <w:rPr>
          <w:rFonts w:hint="eastAsia" w:asciiTheme="minorEastAsia" w:hAnsiTheme="minorEastAsia" w:eastAsiaTheme="minorEastAsia" w:cstheme="minorEastAsia"/>
          <w:kern w:val="0"/>
          <w:sz w:val="28"/>
          <w:szCs w:val="28"/>
          <w:lang w:val="en-US" w:eastAsia="zh-CN" w:bidi="ar-SA"/>
        </w:rPr>
      </w:pPr>
      <w:r>
        <w:rPr>
          <w:rFonts w:hint="eastAsia" w:asciiTheme="minorEastAsia" w:hAnsiTheme="minorEastAsia" w:eastAsiaTheme="minorEastAsia" w:cstheme="minorEastAsia"/>
          <w:kern w:val="0"/>
          <w:sz w:val="28"/>
          <w:szCs w:val="28"/>
          <w:lang w:val="en-US" w:eastAsia="zh-CN" w:bidi="ar-SA"/>
        </w:rPr>
        <w:t>确保完成失业人员再就业目标任务，指标值：700人。</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Theme="minorEastAsia" w:hAnsiTheme="minorEastAsia" w:eastAsiaTheme="minorEastAsia" w:cstheme="minorEastAsia"/>
          <w:kern w:val="0"/>
          <w:sz w:val="28"/>
          <w:szCs w:val="28"/>
          <w:lang w:val="en-US" w:eastAsia="zh-CN" w:bidi="ar-SA"/>
        </w:rPr>
      </w:pPr>
      <w:r>
        <w:rPr>
          <w:rFonts w:hint="eastAsia" w:asciiTheme="minorEastAsia" w:hAnsiTheme="minorEastAsia" w:eastAsiaTheme="minorEastAsia" w:cstheme="minorEastAsia"/>
          <w:kern w:val="0"/>
          <w:sz w:val="28"/>
          <w:szCs w:val="28"/>
          <w:lang w:val="en-US" w:eastAsia="zh-CN" w:bidi="ar-SA"/>
        </w:rPr>
        <w:t>（3）确保完成困难人员再就业目标任务，指标值：200人。</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Theme="minorEastAsia" w:hAnsiTheme="minorEastAsia" w:eastAsiaTheme="minorEastAsia" w:cstheme="minorEastAsia"/>
          <w:kern w:val="0"/>
          <w:sz w:val="28"/>
          <w:szCs w:val="28"/>
          <w:lang w:val="en-US" w:eastAsia="zh-CN" w:bidi="ar-SA"/>
        </w:rPr>
      </w:pPr>
      <w:r>
        <w:rPr>
          <w:rFonts w:hint="eastAsia" w:asciiTheme="minorEastAsia" w:hAnsiTheme="minorEastAsia" w:eastAsiaTheme="minorEastAsia" w:cstheme="minorEastAsia"/>
          <w:kern w:val="0"/>
          <w:sz w:val="28"/>
          <w:szCs w:val="28"/>
          <w:lang w:val="en-US" w:eastAsia="zh-CN" w:bidi="ar-SA"/>
        </w:rPr>
        <w:t>（4）确保年末高校毕业生总体就业率保持稳定。</w:t>
      </w:r>
    </w:p>
    <w:p>
      <w:pPr>
        <w:keepNext w:val="0"/>
        <w:keepLines w:val="0"/>
        <w:pageBreakBefore w:val="0"/>
        <w:numPr>
          <w:ilvl w:val="0"/>
          <w:numId w:val="0"/>
        </w:numPr>
        <w:kinsoku/>
        <w:wordWrap/>
        <w:overflowPunct/>
        <w:topLinePunct w:val="0"/>
        <w:autoSpaceDE/>
        <w:autoSpaceDN/>
        <w:bidi w:val="0"/>
        <w:adjustRightInd/>
        <w:snapToGrid/>
        <w:spacing w:line="240" w:lineRule="auto"/>
        <w:ind w:firstLine="560" w:firstLineChars="200"/>
        <w:textAlignment w:val="auto"/>
        <w:rPr>
          <w:rFonts w:hint="default"/>
          <w:lang w:val="en-US" w:eastAsia="zh-CN"/>
        </w:rPr>
      </w:pPr>
      <w:r>
        <w:rPr>
          <w:rFonts w:hint="eastAsia" w:asciiTheme="minorEastAsia" w:hAnsiTheme="minorEastAsia" w:eastAsiaTheme="minorEastAsia" w:cstheme="minorEastAsia"/>
          <w:kern w:val="0"/>
          <w:sz w:val="28"/>
          <w:szCs w:val="28"/>
          <w:lang w:val="en-US" w:eastAsia="zh-CN" w:bidi="ar-SA"/>
        </w:rPr>
        <w:t>（5）按规定发放职业培训补贴、职业技能鉴定补贴、社会保险补贴、公益性岗位补贴、创业补贴、就业见习补贴、求职创业补贴、就业创业服务补助、高技能人才培养补助等支出以及经省人民政府批准的其他支出项目。</w:t>
      </w:r>
    </w:p>
    <w:p>
      <w:pPr>
        <w:keepNext w:val="0"/>
        <w:keepLines w:val="0"/>
        <w:pageBreakBefore w:val="0"/>
        <w:kinsoku/>
        <w:wordWrap/>
        <w:overflowPunct/>
        <w:topLinePunct w:val="0"/>
        <w:bidi w:val="0"/>
        <w:snapToGrid/>
        <w:spacing w:line="15" w:lineRule="auto"/>
        <w:ind w:firstLine="281" w:firstLineChars="100"/>
        <w:textAlignment w:val="auto"/>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lang w:eastAsia="zh-CN"/>
        </w:rPr>
        <w:t>（五）</w:t>
      </w:r>
      <w:r>
        <w:rPr>
          <w:rFonts w:hint="eastAsia" w:asciiTheme="minorEastAsia" w:hAnsiTheme="minorEastAsia" w:eastAsiaTheme="minorEastAsia" w:cstheme="minorEastAsia"/>
          <w:b/>
          <w:sz w:val="28"/>
          <w:szCs w:val="28"/>
        </w:rPr>
        <w:t>项目资金情况</w:t>
      </w:r>
    </w:p>
    <w:p>
      <w:pPr>
        <w:keepNext w:val="0"/>
        <w:keepLines w:val="0"/>
        <w:pageBreakBefore w:val="0"/>
        <w:kinsoku/>
        <w:wordWrap/>
        <w:overflowPunct/>
        <w:topLinePunct w:val="0"/>
        <w:autoSpaceDE w:val="0"/>
        <w:autoSpaceDN w:val="0"/>
        <w:bidi w:val="0"/>
        <w:adjustRightInd w:val="0"/>
        <w:snapToGrid/>
        <w:spacing w:line="15" w:lineRule="auto"/>
        <w:ind w:firstLine="562" w:firstLineChars="200"/>
        <w:textAlignment w:val="auto"/>
        <w:rPr>
          <w:rFonts w:hint="default" w:asciiTheme="minorEastAsia" w:hAnsiTheme="minorEastAsia" w:eastAsiaTheme="minorEastAsia" w:cstheme="minorEastAsia"/>
          <w:sz w:val="28"/>
          <w:szCs w:val="28"/>
          <w:lang w:val="en-US"/>
        </w:rPr>
      </w:pPr>
      <w:r>
        <w:rPr>
          <w:rFonts w:hint="eastAsia" w:asciiTheme="minorEastAsia" w:hAnsiTheme="minorEastAsia" w:eastAsiaTheme="minorEastAsia" w:cstheme="minorEastAsia"/>
          <w:b/>
          <w:sz w:val="28"/>
          <w:szCs w:val="28"/>
          <w:lang w:val="en-US" w:eastAsia="zh-CN"/>
        </w:rPr>
        <w:t>1、</w:t>
      </w:r>
      <w:r>
        <w:rPr>
          <w:rFonts w:hint="eastAsia" w:asciiTheme="minorEastAsia" w:hAnsiTheme="minorEastAsia" w:eastAsiaTheme="minorEastAsia" w:cstheme="minorEastAsia"/>
          <w:b/>
          <w:sz w:val="28"/>
          <w:szCs w:val="28"/>
        </w:rPr>
        <w:t>项目</w:t>
      </w:r>
      <w:r>
        <w:rPr>
          <w:rFonts w:hint="eastAsia" w:asciiTheme="minorEastAsia" w:hAnsiTheme="minorEastAsia" w:eastAsiaTheme="minorEastAsia" w:cstheme="minorEastAsia"/>
          <w:b/>
          <w:sz w:val="28"/>
          <w:szCs w:val="28"/>
          <w:lang w:eastAsia="zh-CN"/>
        </w:rPr>
        <w:t>预算：</w:t>
      </w:r>
      <w:r>
        <w:rPr>
          <w:rFonts w:hint="eastAsia" w:asciiTheme="minorEastAsia" w:hAnsiTheme="minorEastAsia" w:eastAsiaTheme="minorEastAsia" w:cstheme="minorEastAsia"/>
          <w:kern w:val="0"/>
          <w:sz w:val="28"/>
          <w:szCs w:val="28"/>
          <w:lang w:val="en-US" w:eastAsia="zh-CN" w:bidi="ar-SA"/>
        </w:rPr>
        <w:t>年初未申报项目预算</w:t>
      </w:r>
    </w:p>
    <w:p>
      <w:pPr>
        <w:keepNext w:val="0"/>
        <w:keepLines w:val="0"/>
        <w:pageBreakBefore w:val="0"/>
        <w:kinsoku/>
        <w:wordWrap/>
        <w:overflowPunct/>
        <w:topLinePunct w:val="0"/>
        <w:autoSpaceDE w:val="0"/>
        <w:autoSpaceDN w:val="0"/>
        <w:bidi w:val="0"/>
        <w:adjustRightInd w:val="0"/>
        <w:snapToGrid/>
        <w:spacing w:line="15" w:lineRule="auto"/>
        <w:ind w:firstLine="562" w:firstLineChars="200"/>
        <w:textAlignment w:val="auto"/>
        <w:rPr>
          <w:rFonts w:hint="eastAsia" w:asciiTheme="minorEastAsia" w:hAnsiTheme="minorEastAsia" w:eastAsiaTheme="minorEastAsia" w:cstheme="minorEastAsia"/>
          <w:b/>
          <w:sz w:val="28"/>
          <w:szCs w:val="28"/>
          <w:lang w:eastAsia="zh-CN"/>
        </w:rPr>
      </w:pPr>
      <w:r>
        <w:rPr>
          <w:rFonts w:hint="eastAsia" w:asciiTheme="minorEastAsia" w:hAnsiTheme="minorEastAsia" w:eastAsiaTheme="minorEastAsia" w:cstheme="minorEastAsia"/>
          <w:b/>
          <w:sz w:val="28"/>
          <w:szCs w:val="28"/>
          <w:lang w:val="en-US" w:eastAsia="zh-CN"/>
        </w:rPr>
        <w:t>2、</w:t>
      </w:r>
      <w:r>
        <w:rPr>
          <w:rFonts w:hint="eastAsia" w:asciiTheme="minorEastAsia" w:hAnsiTheme="minorEastAsia" w:eastAsiaTheme="minorEastAsia" w:cstheme="minorEastAsia"/>
          <w:b/>
          <w:sz w:val="28"/>
          <w:szCs w:val="28"/>
        </w:rPr>
        <w:t>资金来源和到位情况</w:t>
      </w:r>
      <w:r>
        <w:rPr>
          <w:rFonts w:hint="eastAsia" w:asciiTheme="minorEastAsia" w:hAnsiTheme="minorEastAsia" w:eastAsiaTheme="minorEastAsia" w:cstheme="minorEastAsia"/>
          <w:b/>
          <w:sz w:val="28"/>
          <w:szCs w:val="28"/>
          <w:lang w:eastAsia="zh-CN"/>
        </w:rPr>
        <w:t>：</w:t>
      </w:r>
    </w:p>
    <w:p>
      <w:pPr>
        <w:keepNext w:val="0"/>
        <w:keepLines w:val="0"/>
        <w:pageBreakBefore w:val="0"/>
        <w:kinsoku/>
        <w:wordWrap/>
        <w:overflowPunct/>
        <w:topLinePunct w:val="0"/>
        <w:autoSpaceDE w:val="0"/>
        <w:autoSpaceDN w:val="0"/>
        <w:bidi w:val="0"/>
        <w:adjustRightInd w:val="0"/>
        <w:snapToGrid/>
        <w:spacing w:line="15" w:lineRule="auto"/>
        <w:ind w:firstLine="560" w:firstLineChars="200"/>
        <w:textAlignment w:val="auto"/>
        <w:rPr>
          <w:rFonts w:hint="default" w:asciiTheme="minorEastAsia" w:hAnsiTheme="minorEastAsia" w:eastAsiaTheme="minorEastAsia" w:cstheme="minorEastAsia"/>
          <w:bCs/>
          <w:sz w:val="28"/>
          <w:szCs w:val="28"/>
          <w:lang w:val="en-US" w:eastAsia="zh-CN"/>
        </w:rPr>
      </w:pPr>
      <w:r>
        <w:rPr>
          <w:rFonts w:hint="eastAsia" w:asciiTheme="minorEastAsia" w:hAnsiTheme="minorEastAsia" w:eastAsiaTheme="minorEastAsia" w:cstheme="minorEastAsia"/>
          <w:b w:val="0"/>
          <w:bCs/>
          <w:sz w:val="28"/>
          <w:szCs w:val="28"/>
          <w:lang w:eastAsia="zh-CN"/>
        </w:rPr>
        <w:t>（</w:t>
      </w:r>
      <w:r>
        <w:rPr>
          <w:rFonts w:hint="eastAsia" w:asciiTheme="minorEastAsia" w:hAnsiTheme="minorEastAsia" w:eastAsiaTheme="minorEastAsia" w:cstheme="minorEastAsia"/>
          <w:b w:val="0"/>
          <w:bCs/>
          <w:sz w:val="28"/>
          <w:szCs w:val="28"/>
          <w:lang w:val="en-US" w:eastAsia="zh-CN"/>
        </w:rPr>
        <w:t>1）</w:t>
      </w:r>
      <w:r>
        <w:rPr>
          <w:rFonts w:hint="eastAsia" w:asciiTheme="minorEastAsia" w:hAnsiTheme="minorEastAsia" w:eastAsiaTheme="minorEastAsia" w:cstheme="minorEastAsia"/>
          <w:bCs/>
          <w:kern w:val="0"/>
          <w:sz w:val="28"/>
          <w:szCs w:val="28"/>
        </w:rPr>
        <w:t>项目资金来源均为</w:t>
      </w:r>
      <w:r>
        <w:rPr>
          <w:rFonts w:hint="eastAsia" w:asciiTheme="minorEastAsia" w:hAnsiTheme="minorEastAsia" w:eastAsiaTheme="minorEastAsia" w:cstheme="minorEastAsia"/>
          <w:bCs/>
          <w:kern w:val="0"/>
          <w:sz w:val="28"/>
          <w:szCs w:val="28"/>
          <w:highlight w:val="none"/>
        </w:rPr>
        <w:t>财政拨款</w:t>
      </w:r>
      <w:r>
        <w:rPr>
          <w:rFonts w:hint="eastAsia" w:asciiTheme="minorEastAsia" w:hAnsiTheme="minorEastAsia" w:eastAsiaTheme="minorEastAsia" w:cstheme="minorEastAsia"/>
          <w:bCs/>
          <w:sz w:val="28"/>
          <w:szCs w:val="28"/>
        </w:rPr>
        <w:t>。</w:t>
      </w:r>
    </w:p>
    <w:p>
      <w:pPr>
        <w:spacing w:line="560" w:lineRule="exact"/>
        <w:ind w:firstLine="548" w:firstLineChars="196"/>
        <w:rPr>
          <w:rFonts w:hint="default" w:asciiTheme="minorEastAsia" w:hAnsiTheme="minorEastAsia" w:eastAsiaTheme="minorEastAsia" w:cstheme="minorEastAsia"/>
          <w:kern w:val="0"/>
          <w:sz w:val="28"/>
          <w:szCs w:val="28"/>
          <w:highlight w:val="none"/>
          <w:lang w:val="en-US" w:eastAsia="zh-CN" w:bidi="ar-SA"/>
        </w:rPr>
      </w:pPr>
      <w:r>
        <w:rPr>
          <w:rFonts w:hint="eastAsia" w:asciiTheme="minorEastAsia" w:hAnsiTheme="minorEastAsia" w:eastAsiaTheme="minorEastAsia" w:cstheme="minorEastAsia"/>
          <w:bCs/>
          <w:sz w:val="28"/>
          <w:szCs w:val="28"/>
          <w:lang w:val="en-US" w:eastAsia="zh-CN"/>
        </w:rPr>
        <w:t>（2）资金到位及时效：2022</w:t>
      </w:r>
      <w:r>
        <w:rPr>
          <w:rFonts w:hint="eastAsia" w:asciiTheme="minorEastAsia" w:hAnsiTheme="minorEastAsia" w:eastAsiaTheme="minorEastAsia" w:cstheme="minorEastAsia"/>
          <w:kern w:val="0"/>
          <w:sz w:val="28"/>
          <w:szCs w:val="28"/>
          <w:lang w:val="en-US" w:eastAsia="zh-CN" w:bidi="ar-SA"/>
        </w:rPr>
        <w:t>年度共计收到资金1014.79万元，其中：上级下达就业补助资金652.66万元，地方财政投入125万元，上年结余236.22万元，利息收入0.91万元，已全部拨付到位，</w:t>
      </w:r>
      <w:r>
        <w:rPr>
          <w:rFonts w:hint="eastAsia" w:asciiTheme="minorEastAsia" w:hAnsiTheme="minorEastAsia" w:eastAsiaTheme="minorEastAsia" w:cstheme="minorEastAsia"/>
          <w:kern w:val="0"/>
          <w:sz w:val="28"/>
          <w:szCs w:val="28"/>
          <w:highlight w:val="none"/>
          <w:lang w:val="en-US" w:eastAsia="zh-CN" w:bidi="ar-SA"/>
        </w:rPr>
        <w:t>明细如下：</w:t>
      </w:r>
    </w:p>
    <w:tbl>
      <w:tblPr>
        <w:tblStyle w:val="25"/>
        <w:tblW w:w="8650"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766"/>
        <w:gridCol w:w="3213"/>
        <w:gridCol w:w="2000"/>
        <w:gridCol w:w="16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8650" w:type="dxa"/>
            <w:gridSpan w:val="4"/>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cs="宋体"/>
                <w:b/>
                <w:bCs/>
                <w:i w:val="0"/>
                <w:iCs w:val="0"/>
                <w:color w:val="000000"/>
                <w:kern w:val="0"/>
                <w:sz w:val="24"/>
                <w:szCs w:val="24"/>
                <w:u w:val="none"/>
                <w:lang w:val="en-US" w:eastAsia="zh-CN" w:bidi="ar"/>
              </w:rPr>
              <w:t>2022年度就业补助资金</w:t>
            </w:r>
            <w:r>
              <w:rPr>
                <w:rFonts w:hint="eastAsia" w:ascii="宋体" w:hAnsi="宋体" w:eastAsia="宋体" w:cs="宋体"/>
                <w:b/>
                <w:bCs/>
                <w:i w:val="0"/>
                <w:iCs w:val="0"/>
                <w:color w:val="000000"/>
                <w:kern w:val="0"/>
                <w:sz w:val="24"/>
                <w:szCs w:val="24"/>
                <w:u w:val="none"/>
                <w:lang w:val="en-US" w:eastAsia="zh-CN" w:bidi="ar"/>
              </w:rPr>
              <w:t>收入</w:t>
            </w:r>
            <w:r>
              <w:rPr>
                <w:rFonts w:hint="eastAsia" w:ascii="宋体" w:hAnsi="宋体" w:cs="宋体"/>
                <w:b/>
                <w:bCs/>
                <w:i w:val="0"/>
                <w:iCs w:val="0"/>
                <w:color w:val="000000"/>
                <w:kern w:val="0"/>
                <w:sz w:val="24"/>
                <w:szCs w:val="24"/>
                <w:u w:val="none"/>
                <w:lang w:val="en-US" w:eastAsia="zh-CN" w:bidi="ar"/>
              </w:rPr>
              <w:t>汇总</w:t>
            </w:r>
            <w:r>
              <w:rPr>
                <w:rFonts w:hint="eastAsia" w:ascii="宋体" w:hAnsi="宋体" w:eastAsia="宋体" w:cs="宋体"/>
                <w:b/>
                <w:bCs/>
                <w:i w:val="0"/>
                <w:iCs w:val="0"/>
                <w:color w:val="000000"/>
                <w:kern w:val="0"/>
                <w:sz w:val="24"/>
                <w:szCs w:val="24"/>
                <w:u w:val="none"/>
                <w:lang w:val="en-US" w:eastAsia="zh-CN" w:bidi="ar"/>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1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日期</w:t>
            </w:r>
          </w:p>
        </w:tc>
        <w:tc>
          <w:tcPr>
            <w:tcW w:w="3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项目内容</w:t>
            </w:r>
          </w:p>
        </w:tc>
        <w:tc>
          <w:tcPr>
            <w:tcW w:w="2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市指标文号</w:t>
            </w:r>
          </w:p>
        </w:tc>
        <w:tc>
          <w:tcPr>
            <w:tcW w:w="1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1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2022年4月29日</w:t>
            </w:r>
          </w:p>
        </w:tc>
        <w:tc>
          <w:tcPr>
            <w:tcW w:w="3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2022指标金额（提前批）中央资金</w:t>
            </w: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岳财预〔2022〕30号</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5,277,000.00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1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2023年6月23日</w:t>
            </w:r>
          </w:p>
        </w:tc>
        <w:tc>
          <w:tcPr>
            <w:tcW w:w="3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2022指标金额（提前批）省级资金</w:t>
            </w: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岳财预〔2022〕30号</w:t>
            </w:r>
          </w:p>
        </w:tc>
        <w:tc>
          <w:tcPr>
            <w:tcW w:w="1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592,200.00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1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2023年7月4日</w:t>
            </w:r>
          </w:p>
        </w:tc>
        <w:tc>
          <w:tcPr>
            <w:tcW w:w="3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区级配套</w:t>
            </w: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1,250,000.00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1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2022年11月9日</w:t>
            </w:r>
          </w:p>
        </w:tc>
        <w:tc>
          <w:tcPr>
            <w:tcW w:w="3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2022指标金额中央及省级资金</w:t>
            </w: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岳财预〔2022180号</w:t>
            </w:r>
          </w:p>
        </w:tc>
        <w:tc>
          <w:tcPr>
            <w:tcW w:w="1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357,400.00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1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2022年11月9日</w:t>
            </w:r>
          </w:p>
        </w:tc>
        <w:tc>
          <w:tcPr>
            <w:tcW w:w="3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上级拨入</w:t>
            </w:r>
          </w:p>
        </w:tc>
        <w:tc>
          <w:tcPr>
            <w:tcW w:w="2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300,000.00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1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上年结余</w:t>
            </w:r>
          </w:p>
        </w:tc>
        <w:tc>
          <w:tcPr>
            <w:tcW w:w="3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kern w:val="0"/>
                <w:sz w:val="20"/>
                <w:szCs w:val="20"/>
                <w:u w:val="none"/>
                <w:lang w:val="en-US" w:eastAsia="zh-CN" w:bidi="ar"/>
              </w:rPr>
            </w:pPr>
          </w:p>
        </w:tc>
        <w:tc>
          <w:tcPr>
            <w:tcW w:w="2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2,362,166.68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1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2022年3月31日</w:t>
            </w:r>
          </w:p>
        </w:tc>
        <w:tc>
          <w:tcPr>
            <w:tcW w:w="3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一季度利息收入</w:t>
            </w: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1,266.93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1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2022年6月23日</w:t>
            </w:r>
          </w:p>
        </w:tc>
        <w:tc>
          <w:tcPr>
            <w:tcW w:w="3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二季度利息收入</w:t>
            </w: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2,273.37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1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2022年9月</w:t>
            </w:r>
          </w:p>
        </w:tc>
        <w:tc>
          <w:tcPr>
            <w:tcW w:w="3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三季度利息收入</w:t>
            </w: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4,172.47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1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2022年12月</w:t>
            </w:r>
          </w:p>
        </w:tc>
        <w:tc>
          <w:tcPr>
            <w:tcW w:w="3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四季度利息收入</w:t>
            </w:r>
          </w:p>
        </w:tc>
        <w:tc>
          <w:tcPr>
            <w:tcW w:w="2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1,433.59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697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合计金额</w:t>
            </w:r>
          </w:p>
        </w:tc>
        <w:tc>
          <w:tcPr>
            <w:tcW w:w="1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10,147,913.04 </w:t>
            </w:r>
          </w:p>
        </w:tc>
      </w:tr>
    </w:tbl>
    <w:p>
      <w:pPr>
        <w:keepNext w:val="0"/>
        <w:keepLines w:val="0"/>
        <w:pageBreakBefore w:val="0"/>
        <w:kinsoku/>
        <w:wordWrap/>
        <w:overflowPunct/>
        <w:topLinePunct w:val="0"/>
        <w:autoSpaceDE w:val="0"/>
        <w:autoSpaceDN w:val="0"/>
        <w:bidi w:val="0"/>
        <w:adjustRightInd w:val="0"/>
        <w:snapToGrid/>
        <w:spacing w:line="15" w:lineRule="auto"/>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kern w:val="0"/>
          <w:sz w:val="28"/>
          <w:szCs w:val="28"/>
          <w:lang w:val="en-US" w:eastAsia="zh-CN" w:bidi="ar-SA"/>
        </w:rPr>
        <w:t xml:space="preserve"> </w:t>
      </w:r>
      <w:r>
        <w:rPr>
          <w:rFonts w:hint="eastAsia" w:asciiTheme="minorEastAsia" w:hAnsiTheme="minorEastAsia" w:eastAsiaTheme="minorEastAsia" w:cstheme="minorEastAsia"/>
          <w:b/>
          <w:sz w:val="28"/>
          <w:szCs w:val="28"/>
          <w:lang w:val="en-US" w:eastAsia="zh-CN"/>
        </w:rPr>
        <w:t>3、</w:t>
      </w:r>
      <w:r>
        <w:rPr>
          <w:rFonts w:hint="eastAsia" w:asciiTheme="minorEastAsia" w:hAnsiTheme="minorEastAsia" w:eastAsiaTheme="minorEastAsia" w:cstheme="minorEastAsia"/>
          <w:b/>
          <w:sz w:val="28"/>
          <w:szCs w:val="28"/>
        </w:rPr>
        <w:t>实际使用资金情况</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80" w:lineRule="atLeast"/>
        <w:ind w:firstLine="560"/>
        <w:textAlignment w:val="auto"/>
        <w:rPr>
          <w:rFonts w:hint="default" w:asciiTheme="minorEastAsia" w:hAnsiTheme="minorEastAsia" w:eastAsiaTheme="minorEastAsia" w:cstheme="minorEastAsia"/>
          <w:bCs/>
          <w:kern w:val="2"/>
          <w:sz w:val="28"/>
          <w:szCs w:val="28"/>
          <w:lang w:val="en-US" w:eastAsia="zh-CN" w:bidi="ar-SA"/>
        </w:rPr>
      </w:pPr>
      <w:r>
        <w:rPr>
          <w:rFonts w:hint="eastAsia" w:asciiTheme="minorEastAsia" w:hAnsiTheme="minorEastAsia" w:eastAsiaTheme="minorEastAsia" w:cstheme="minorEastAsia"/>
          <w:bCs/>
          <w:kern w:val="2"/>
          <w:sz w:val="28"/>
          <w:szCs w:val="28"/>
          <w:lang w:val="en-US" w:eastAsia="zh-CN" w:bidi="ar-SA"/>
        </w:rPr>
        <w:t>云溪区就业专项资金2022年总支出975.12万元，主要用于八个专项补贴，其中：就业创业服务补贴支出247.89万元、职业技能培训补贴支出149.63万元、社保补贴支出14.66万元、公益性岗位补贴支出395.60万元、就业见习补贴支出119.34万元、一次性吸纳就业补贴1.8万元、其他就业补助支出46.20万元，明细如下：</w:t>
      </w:r>
    </w:p>
    <w:tbl>
      <w:tblPr>
        <w:tblStyle w:val="25"/>
        <w:tblW w:w="8629"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15"/>
        <w:gridCol w:w="4644"/>
        <w:gridCol w:w="30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8629" w:type="dxa"/>
            <w:gridSpan w:val="3"/>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4"/>
                <w:szCs w:val="24"/>
                <w:u w:val="none"/>
                <w:lang w:val="en-US" w:eastAsia="zh-CN" w:bidi="ar"/>
              </w:rPr>
              <w:t>2022年度就业补助资金收入汇总表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序列号</w:t>
            </w:r>
          </w:p>
        </w:tc>
        <w:tc>
          <w:tcPr>
            <w:tcW w:w="4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项目内容</w:t>
            </w:r>
          </w:p>
        </w:tc>
        <w:tc>
          <w:tcPr>
            <w:tcW w:w="3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就业创业服务补贴</w:t>
            </w:r>
          </w:p>
        </w:tc>
        <w:tc>
          <w:tcPr>
            <w:tcW w:w="3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2,478,883.10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4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职业技能培训补贴</w:t>
            </w:r>
          </w:p>
        </w:tc>
        <w:tc>
          <w:tcPr>
            <w:tcW w:w="3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952,149.00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4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创业培训补贴</w:t>
            </w:r>
          </w:p>
        </w:tc>
        <w:tc>
          <w:tcPr>
            <w:tcW w:w="3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544,200.00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4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一次性吸纳就业补贴</w:t>
            </w:r>
          </w:p>
        </w:tc>
        <w:tc>
          <w:tcPr>
            <w:tcW w:w="3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18,000.00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4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就业见习补贴</w:t>
            </w:r>
          </w:p>
        </w:tc>
        <w:tc>
          <w:tcPr>
            <w:tcW w:w="3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1,193,350.00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4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公益性岗位补贴</w:t>
            </w:r>
          </w:p>
        </w:tc>
        <w:tc>
          <w:tcPr>
            <w:tcW w:w="3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3,956,040.00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4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社保补贴</w:t>
            </w:r>
          </w:p>
        </w:tc>
        <w:tc>
          <w:tcPr>
            <w:tcW w:w="3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146,624.37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4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3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461,940.00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555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合计金额</w:t>
            </w:r>
          </w:p>
        </w:tc>
        <w:tc>
          <w:tcPr>
            <w:tcW w:w="3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9,751,186.47 </w:t>
            </w:r>
          </w:p>
        </w:tc>
      </w:tr>
    </w:tbl>
    <w:p>
      <w:pPr>
        <w:pStyle w:val="4"/>
        <w:keepNext w:val="0"/>
        <w:keepLines w:val="0"/>
        <w:pageBreakBefore w:val="0"/>
        <w:widowControl w:val="0"/>
        <w:numPr>
          <w:ilvl w:val="0"/>
          <w:numId w:val="0"/>
        </w:numPr>
        <w:kinsoku/>
        <w:wordWrap/>
        <w:overflowPunct/>
        <w:topLinePunct w:val="0"/>
        <w:autoSpaceDE/>
        <w:autoSpaceDN/>
        <w:bidi w:val="0"/>
        <w:adjustRightInd/>
        <w:snapToGrid/>
        <w:spacing w:line="580" w:lineRule="atLeast"/>
        <w:ind w:firstLine="560"/>
        <w:textAlignment w:val="auto"/>
        <w:rPr>
          <w:rFonts w:hint="default" w:asciiTheme="minorEastAsia" w:hAnsiTheme="minorEastAsia" w:eastAsiaTheme="minorEastAsia" w:cstheme="minorEastAsia"/>
          <w:bCs/>
          <w:kern w:val="2"/>
          <w:sz w:val="28"/>
          <w:szCs w:val="28"/>
          <w:lang w:val="en-US" w:eastAsia="zh-CN" w:bidi="ar-SA"/>
        </w:rPr>
      </w:pPr>
    </w:p>
    <w:p>
      <w:pPr>
        <w:spacing w:line="600" w:lineRule="exact"/>
        <w:ind w:firstLine="562" w:firstLineChars="200"/>
        <w:jc w:val="left"/>
        <w:rPr>
          <w:rFonts w:hint="eastAsia" w:ascii="宋体" w:hAnsi="宋体" w:cs="宋体"/>
          <w:b w:val="0"/>
          <w:bCs w:val="0"/>
          <w:kern w:val="2"/>
          <w:sz w:val="28"/>
          <w:szCs w:val="28"/>
          <w:highlight w:val="yellow"/>
          <w:lang w:val="en-US" w:eastAsia="zh-CN" w:bidi="ar-SA"/>
        </w:rPr>
      </w:pPr>
      <w:r>
        <w:rPr>
          <w:rFonts w:hint="eastAsia" w:asciiTheme="minorEastAsia" w:hAnsiTheme="minorEastAsia" w:eastAsiaTheme="minorEastAsia" w:cstheme="minorEastAsia"/>
          <w:b/>
          <w:bCs/>
          <w:sz w:val="28"/>
          <w:szCs w:val="28"/>
          <w:highlight w:val="none"/>
          <w:lang w:val="en-US" w:eastAsia="zh-CN"/>
        </w:rPr>
        <w:t>4、资金结余情况：</w:t>
      </w:r>
      <w:r>
        <w:rPr>
          <w:rFonts w:hint="eastAsia" w:asciiTheme="minorEastAsia" w:hAnsiTheme="minorEastAsia" w:eastAsiaTheme="minorEastAsia" w:cstheme="minorEastAsia"/>
          <w:b w:val="0"/>
          <w:bCs w:val="0"/>
          <w:sz w:val="28"/>
          <w:szCs w:val="28"/>
          <w:highlight w:val="none"/>
          <w:lang w:val="en-US" w:eastAsia="zh-CN"/>
        </w:rPr>
        <w:t>项目收入</w:t>
      </w:r>
      <w:r>
        <w:rPr>
          <w:rFonts w:hint="eastAsia" w:asciiTheme="minorEastAsia" w:hAnsiTheme="minorEastAsia" w:eastAsiaTheme="minorEastAsia" w:cstheme="minorEastAsia"/>
          <w:b w:val="0"/>
          <w:bCs w:val="0"/>
          <w:kern w:val="0"/>
          <w:sz w:val="28"/>
          <w:szCs w:val="28"/>
          <w:highlight w:val="none"/>
          <w:lang w:val="en-US" w:eastAsia="zh-CN" w:bidi="ar-SA"/>
        </w:rPr>
        <w:t>1014.79万元，</w:t>
      </w:r>
      <w:r>
        <w:rPr>
          <w:rFonts w:hint="eastAsia" w:asciiTheme="minorEastAsia" w:hAnsiTheme="minorEastAsia" w:eastAsiaTheme="minorEastAsia" w:cstheme="minorEastAsia"/>
          <w:b w:val="0"/>
          <w:bCs w:val="0"/>
          <w:sz w:val="28"/>
          <w:szCs w:val="28"/>
          <w:highlight w:val="none"/>
        </w:rPr>
        <w:t>实际</w:t>
      </w:r>
      <w:r>
        <w:rPr>
          <w:rFonts w:hint="eastAsia" w:asciiTheme="minorEastAsia" w:hAnsiTheme="minorEastAsia" w:eastAsiaTheme="minorEastAsia" w:cstheme="minorEastAsia"/>
          <w:b w:val="0"/>
          <w:bCs w:val="0"/>
          <w:sz w:val="28"/>
          <w:szCs w:val="28"/>
          <w:highlight w:val="none"/>
          <w:lang w:eastAsia="zh-CN"/>
        </w:rPr>
        <w:t>共支出</w:t>
      </w:r>
      <w:r>
        <w:rPr>
          <w:rFonts w:hint="eastAsia" w:asciiTheme="minorEastAsia" w:hAnsiTheme="minorEastAsia" w:eastAsiaTheme="minorEastAsia" w:cstheme="minorEastAsia"/>
          <w:b w:val="0"/>
          <w:bCs w:val="0"/>
          <w:kern w:val="2"/>
          <w:sz w:val="28"/>
          <w:szCs w:val="28"/>
          <w:highlight w:val="none"/>
          <w:lang w:val="en-US" w:eastAsia="zh-CN" w:bidi="ar-SA"/>
        </w:rPr>
        <w:t>975.12</w:t>
      </w:r>
      <w:r>
        <w:rPr>
          <w:rFonts w:hint="eastAsia" w:ascii="宋体" w:hAnsi="宋体" w:eastAsia="宋体" w:cs="宋体"/>
          <w:b w:val="0"/>
          <w:bCs w:val="0"/>
          <w:kern w:val="2"/>
          <w:sz w:val="28"/>
          <w:szCs w:val="28"/>
          <w:highlight w:val="none"/>
          <w:lang w:val="en-US" w:eastAsia="zh-CN" w:bidi="ar-SA"/>
        </w:rPr>
        <w:t>万</w:t>
      </w:r>
      <w:r>
        <w:rPr>
          <w:rFonts w:hint="eastAsia" w:ascii="宋体" w:hAnsi="宋体" w:eastAsia="宋体" w:cs="宋体"/>
          <w:b w:val="0"/>
          <w:bCs w:val="0"/>
          <w:sz w:val="28"/>
          <w:szCs w:val="28"/>
          <w:highlight w:val="none"/>
        </w:rPr>
        <w:t>元，</w:t>
      </w:r>
      <w:r>
        <w:rPr>
          <w:rFonts w:hint="eastAsia" w:ascii="宋体" w:hAnsi="宋体" w:cs="宋体"/>
          <w:b w:val="0"/>
          <w:bCs w:val="0"/>
          <w:sz w:val="28"/>
          <w:szCs w:val="28"/>
          <w:highlight w:val="none"/>
          <w:lang w:eastAsia="zh-CN"/>
        </w:rPr>
        <w:t>当年</w:t>
      </w:r>
      <w:r>
        <w:rPr>
          <w:rFonts w:hint="eastAsia" w:ascii="宋体" w:hAnsi="宋体" w:eastAsia="宋体" w:cs="宋体"/>
          <w:b w:val="0"/>
          <w:bCs w:val="0"/>
          <w:kern w:val="2"/>
          <w:sz w:val="28"/>
          <w:szCs w:val="28"/>
          <w:highlight w:val="none"/>
          <w:lang w:val="en-US" w:eastAsia="zh-CN" w:bidi="ar-SA"/>
        </w:rPr>
        <w:t>结余</w:t>
      </w:r>
      <w:r>
        <w:rPr>
          <w:rFonts w:hint="eastAsia" w:ascii="宋体" w:hAnsi="宋体" w:cs="宋体"/>
          <w:b w:val="0"/>
          <w:bCs w:val="0"/>
          <w:kern w:val="2"/>
          <w:sz w:val="28"/>
          <w:szCs w:val="28"/>
          <w:highlight w:val="none"/>
          <w:lang w:val="en-US" w:eastAsia="zh-CN" w:bidi="ar-SA"/>
        </w:rPr>
        <w:t>39.67万元。</w:t>
      </w:r>
    </w:p>
    <w:p>
      <w:pPr>
        <w:spacing w:line="600" w:lineRule="exact"/>
        <w:ind w:firstLine="562" w:firstLineChars="200"/>
        <w:jc w:val="left"/>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5、资金管理制度情况</w:t>
      </w:r>
    </w:p>
    <w:p>
      <w:pPr>
        <w:spacing w:line="560" w:lineRule="exact"/>
        <w:ind w:firstLine="560" w:firstLineChars="200"/>
        <w:rPr>
          <w:rFonts w:hint="default" w:asciiTheme="minorEastAsia" w:hAnsiTheme="minorEastAsia" w:eastAsiaTheme="minorEastAsia" w:cstheme="minorEastAsia"/>
          <w:bCs/>
          <w:kern w:val="2"/>
          <w:sz w:val="28"/>
          <w:szCs w:val="28"/>
          <w:lang w:val="en-US" w:eastAsia="zh-CN" w:bidi="ar-SA"/>
        </w:rPr>
      </w:pPr>
      <w:r>
        <w:rPr>
          <w:rFonts w:hint="eastAsia" w:asciiTheme="minorEastAsia" w:hAnsiTheme="minorEastAsia" w:eastAsiaTheme="minorEastAsia" w:cstheme="minorEastAsia"/>
          <w:bCs/>
          <w:kern w:val="2"/>
          <w:sz w:val="28"/>
          <w:szCs w:val="28"/>
          <w:lang w:val="en-US" w:eastAsia="zh-CN" w:bidi="ar-SA"/>
        </w:rPr>
        <w:t>云溪区就业服务中心制定了《云溪区就业服务中心就业专项资金财务管理制度》以及《就业专项资金内控流程表》，其中包含了财务监管制度以及对每项补贴的申请、审批流程均有详细的说明，云溪就业服务中心提供了《湖南省就业专项资金管理办法》，其中规定了资金支出范围、项目资金分配、审核、拨付等各个重点环节，上述管理制度增强项目透明、程序透明、制度透明，强化申报、审核、拨付、使用、监督相互制约机制，确保资金安全高效运行，以及提供了每个专项支出的相关政策文件，制度齐全。</w:t>
      </w:r>
    </w:p>
    <w:p>
      <w:pPr>
        <w:ind w:firstLine="843" w:firstLineChars="300"/>
        <w:rPr>
          <w:rFonts w:hint="eastAsia" w:asciiTheme="minorEastAsia" w:hAnsiTheme="minorEastAsia" w:eastAsiaTheme="minorEastAsia" w:cstheme="minorEastAsia"/>
          <w:b/>
          <w:sz w:val="28"/>
          <w:szCs w:val="28"/>
          <w:highlight w:val="none"/>
        </w:rPr>
      </w:pPr>
      <w:r>
        <w:rPr>
          <w:rFonts w:hint="eastAsia" w:asciiTheme="minorEastAsia" w:hAnsiTheme="minorEastAsia" w:eastAsiaTheme="minorEastAsia" w:cstheme="minorEastAsia"/>
          <w:b/>
          <w:sz w:val="28"/>
          <w:szCs w:val="28"/>
          <w:highlight w:val="none"/>
        </w:rPr>
        <w:t>二、绩效评价工作情况</w:t>
      </w:r>
    </w:p>
    <w:p>
      <w:pPr>
        <w:ind w:firstLine="689" w:firstLineChars="245"/>
        <w:rPr>
          <w:rFonts w:hint="eastAsia" w:asciiTheme="minorEastAsia" w:hAnsiTheme="minorEastAsia" w:eastAsiaTheme="minorEastAsia" w:cstheme="minorEastAsia"/>
          <w:b/>
          <w:color w:val="000000"/>
          <w:kern w:val="0"/>
          <w:sz w:val="28"/>
          <w:szCs w:val="28"/>
          <w:highlight w:val="none"/>
        </w:rPr>
      </w:pPr>
      <w:r>
        <w:rPr>
          <w:rFonts w:hint="eastAsia" w:asciiTheme="minorEastAsia" w:hAnsiTheme="minorEastAsia" w:eastAsiaTheme="minorEastAsia" w:cstheme="minorEastAsia"/>
          <w:b/>
          <w:color w:val="000000"/>
          <w:kern w:val="0"/>
          <w:sz w:val="28"/>
          <w:szCs w:val="28"/>
          <w:highlight w:val="none"/>
        </w:rPr>
        <w:t>（一）绩效评价的目的</w:t>
      </w:r>
    </w:p>
    <w:p>
      <w:pPr>
        <w:ind w:firstLine="560" w:firstLineChars="200"/>
        <w:rPr>
          <w:rFonts w:hint="eastAsia" w:asciiTheme="minorEastAsia" w:hAnsiTheme="minorEastAsia" w:eastAsiaTheme="minorEastAsia" w:cstheme="minorEastAsia"/>
          <w:b/>
          <w:sz w:val="28"/>
          <w:szCs w:val="28"/>
          <w:highlight w:val="none"/>
        </w:rPr>
      </w:pPr>
      <w:r>
        <w:rPr>
          <w:rFonts w:hint="eastAsia" w:asciiTheme="minorEastAsia" w:hAnsiTheme="minorEastAsia" w:eastAsiaTheme="minorEastAsia" w:cstheme="minorEastAsia"/>
          <w:sz w:val="28"/>
          <w:szCs w:val="28"/>
          <w:highlight w:val="none"/>
        </w:rPr>
        <w:t>通过对项目的绩效评价，了解该项目基本立项情况；项目的资金来源、投向和管理情况；项目组织工作实施情况；项目投入是否达到预期目标；总结经验，分析问题，</w:t>
      </w:r>
      <w:r>
        <w:rPr>
          <w:rFonts w:hint="eastAsia" w:asciiTheme="minorEastAsia" w:hAnsiTheme="minorEastAsia" w:eastAsiaTheme="minorEastAsia" w:cstheme="minorEastAsia"/>
          <w:bCs/>
          <w:sz w:val="28"/>
          <w:szCs w:val="28"/>
          <w:highlight w:val="none"/>
        </w:rPr>
        <w:t>优化项目资金管理。</w:t>
      </w:r>
    </w:p>
    <w:p>
      <w:pPr>
        <w:tabs>
          <w:tab w:val="left" w:pos="5760"/>
        </w:tabs>
        <w:ind w:firstLine="562" w:firstLineChars="200"/>
        <w:rPr>
          <w:rFonts w:hint="eastAsia" w:asciiTheme="minorEastAsia" w:hAnsiTheme="minorEastAsia" w:eastAsiaTheme="minorEastAsia" w:cstheme="minorEastAsia"/>
          <w:b/>
          <w:sz w:val="28"/>
          <w:szCs w:val="28"/>
          <w:highlight w:val="none"/>
        </w:rPr>
      </w:pPr>
      <w:r>
        <w:rPr>
          <w:rFonts w:hint="eastAsia" w:asciiTheme="minorEastAsia" w:hAnsiTheme="minorEastAsia" w:eastAsiaTheme="minorEastAsia" w:cstheme="minorEastAsia"/>
          <w:b/>
          <w:sz w:val="28"/>
          <w:szCs w:val="28"/>
          <w:highlight w:val="none"/>
        </w:rPr>
        <w:t>（二）绩效评价原则、指标体系</w:t>
      </w:r>
      <w:r>
        <w:rPr>
          <w:rFonts w:hint="eastAsia" w:asciiTheme="minorEastAsia" w:hAnsiTheme="minorEastAsia" w:eastAsiaTheme="minorEastAsia" w:cstheme="minorEastAsia"/>
          <w:b/>
          <w:sz w:val="28"/>
          <w:szCs w:val="28"/>
          <w:highlight w:val="none"/>
          <w:lang w:eastAsia="zh-CN"/>
        </w:rPr>
        <w:t>及</w:t>
      </w:r>
      <w:r>
        <w:rPr>
          <w:rFonts w:hint="eastAsia" w:asciiTheme="minorEastAsia" w:hAnsiTheme="minorEastAsia" w:eastAsiaTheme="minorEastAsia" w:cstheme="minorEastAsia"/>
          <w:b/>
          <w:sz w:val="28"/>
          <w:szCs w:val="28"/>
          <w:highlight w:val="none"/>
        </w:rPr>
        <w:t>标准和评价方法</w:t>
      </w:r>
    </w:p>
    <w:p>
      <w:pPr>
        <w:ind w:firstLine="562" w:firstLineChars="200"/>
        <w:rPr>
          <w:rFonts w:hint="eastAsia"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b/>
          <w:bCs/>
          <w:sz w:val="28"/>
          <w:szCs w:val="28"/>
          <w:highlight w:val="none"/>
          <w:lang w:val="en-US" w:eastAsia="zh-CN"/>
        </w:rPr>
        <w:t>1.</w:t>
      </w:r>
      <w:r>
        <w:rPr>
          <w:rFonts w:hint="eastAsia" w:asciiTheme="minorEastAsia" w:hAnsiTheme="minorEastAsia" w:eastAsiaTheme="minorEastAsia" w:cstheme="minorEastAsia"/>
          <w:b/>
          <w:sz w:val="28"/>
          <w:szCs w:val="28"/>
          <w:highlight w:val="none"/>
        </w:rPr>
        <w:t>绩效评价原则</w:t>
      </w:r>
    </w:p>
    <w:p>
      <w:pPr>
        <w:ind w:firstLine="560" w:firstLineChars="200"/>
        <w:rPr>
          <w:rFonts w:hint="eastAsia"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遵循科学规范、公正公开和绩效相关的原则。</w:t>
      </w:r>
    </w:p>
    <w:p>
      <w:pPr>
        <w:spacing w:line="300" w:lineRule="auto"/>
        <w:ind w:firstLine="562" w:firstLineChars="200"/>
        <w:rPr>
          <w:rFonts w:hint="eastAsia" w:asciiTheme="minorEastAsia" w:hAnsiTheme="minorEastAsia" w:eastAsiaTheme="minorEastAsia" w:cstheme="minorEastAsia"/>
          <w:b/>
          <w:sz w:val="28"/>
          <w:szCs w:val="28"/>
          <w:highlight w:val="none"/>
        </w:rPr>
      </w:pPr>
      <w:r>
        <w:rPr>
          <w:rFonts w:hint="eastAsia" w:asciiTheme="minorEastAsia" w:hAnsiTheme="minorEastAsia" w:eastAsiaTheme="minorEastAsia" w:cstheme="minorEastAsia"/>
          <w:b/>
          <w:sz w:val="28"/>
          <w:szCs w:val="28"/>
          <w:highlight w:val="none"/>
        </w:rPr>
        <w:t>2.绩效指标体系及标准</w:t>
      </w:r>
    </w:p>
    <w:p>
      <w:pPr>
        <w:ind w:firstLine="560" w:firstLineChars="200"/>
        <w:rPr>
          <w:rFonts w:hint="eastAsia"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指标体系包括共性和个性指标两部分，本次主要参照了财政局制定的《</w:t>
      </w:r>
      <w:r>
        <w:rPr>
          <w:rFonts w:hint="eastAsia" w:asciiTheme="minorEastAsia" w:hAnsiTheme="minorEastAsia" w:eastAsiaTheme="minorEastAsia" w:cstheme="minorEastAsia"/>
          <w:sz w:val="28"/>
          <w:szCs w:val="28"/>
          <w:highlight w:val="none"/>
          <w:lang w:val="en-US" w:eastAsia="zh-CN"/>
        </w:rPr>
        <w:t>云溪区</w:t>
      </w:r>
      <w:r>
        <w:rPr>
          <w:rFonts w:hint="eastAsia" w:asciiTheme="minorEastAsia" w:hAnsiTheme="minorEastAsia" w:eastAsiaTheme="minorEastAsia" w:cstheme="minorEastAsia"/>
          <w:sz w:val="28"/>
          <w:szCs w:val="28"/>
          <w:highlight w:val="none"/>
        </w:rPr>
        <w:t>项目支出绩效评价指标体系（参考样表）》共性指标体系相关内容，根据项目实施的具体情况对个性指标进行了调整细化，形成了《</w:t>
      </w:r>
      <w:r>
        <w:rPr>
          <w:rFonts w:hint="eastAsia" w:asciiTheme="minorEastAsia" w:hAnsiTheme="minorEastAsia" w:eastAsiaTheme="minorEastAsia" w:cstheme="minorEastAsia"/>
          <w:sz w:val="28"/>
          <w:szCs w:val="28"/>
          <w:highlight w:val="none"/>
          <w:lang w:val="en-US" w:eastAsia="zh-CN"/>
        </w:rPr>
        <w:t>云溪区就业服务中心2022年度就业补助资金绩效评价指标体系</w:t>
      </w:r>
      <w:r>
        <w:rPr>
          <w:rFonts w:hint="eastAsia" w:asciiTheme="minorEastAsia" w:hAnsiTheme="minorEastAsia" w:eastAsiaTheme="minorEastAsia" w:cstheme="minorEastAsia"/>
          <w:sz w:val="28"/>
          <w:szCs w:val="28"/>
          <w:highlight w:val="none"/>
        </w:rPr>
        <w:t>》（附件1）及评价标准《</w:t>
      </w:r>
      <w:r>
        <w:rPr>
          <w:rFonts w:hint="eastAsia" w:asciiTheme="minorEastAsia" w:hAnsiTheme="minorEastAsia" w:eastAsiaTheme="minorEastAsia" w:cstheme="minorEastAsia"/>
          <w:sz w:val="28"/>
          <w:szCs w:val="28"/>
          <w:highlight w:val="none"/>
          <w:lang w:val="en-US" w:eastAsia="zh-CN"/>
        </w:rPr>
        <w:t>云溪区就业服务中心2022年度就业补助资金绩效评分表</w:t>
      </w:r>
      <w:r>
        <w:rPr>
          <w:rFonts w:hint="eastAsia" w:asciiTheme="minorEastAsia" w:hAnsiTheme="minorEastAsia" w:eastAsiaTheme="minorEastAsia" w:cstheme="minorEastAsia"/>
          <w:sz w:val="28"/>
          <w:szCs w:val="28"/>
          <w:highlight w:val="none"/>
        </w:rPr>
        <w:t>》（附件2）。</w:t>
      </w:r>
    </w:p>
    <w:p>
      <w:pPr>
        <w:numPr>
          <w:ilvl w:val="0"/>
          <w:numId w:val="0"/>
        </w:numPr>
        <w:ind w:firstLine="562" w:firstLineChars="200"/>
        <w:rPr>
          <w:rFonts w:hint="eastAsia" w:asciiTheme="minorEastAsia" w:hAnsiTheme="minorEastAsia" w:eastAsiaTheme="minorEastAsia" w:cstheme="minorEastAsia"/>
          <w:b/>
          <w:sz w:val="28"/>
          <w:szCs w:val="28"/>
          <w:highlight w:val="none"/>
        </w:rPr>
      </w:pPr>
      <w:r>
        <w:rPr>
          <w:rFonts w:hint="eastAsia" w:asciiTheme="minorEastAsia" w:hAnsiTheme="minorEastAsia" w:eastAsiaTheme="minorEastAsia" w:cstheme="minorEastAsia"/>
          <w:b/>
          <w:sz w:val="28"/>
          <w:szCs w:val="28"/>
          <w:highlight w:val="none"/>
          <w:lang w:val="en-US" w:eastAsia="zh-CN"/>
        </w:rPr>
        <w:t>3.</w:t>
      </w:r>
      <w:r>
        <w:rPr>
          <w:rFonts w:hint="eastAsia" w:asciiTheme="minorEastAsia" w:hAnsiTheme="minorEastAsia" w:eastAsiaTheme="minorEastAsia" w:cstheme="minorEastAsia"/>
          <w:b/>
          <w:sz w:val="28"/>
          <w:szCs w:val="28"/>
          <w:highlight w:val="none"/>
        </w:rPr>
        <w:t>绩效评价方法和内容</w:t>
      </w:r>
    </w:p>
    <w:p>
      <w:pPr>
        <w:ind w:firstLine="560" w:firstLineChars="200"/>
        <w:rPr>
          <w:rFonts w:hint="eastAsia" w:asciiTheme="minorEastAsia" w:hAnsiTheme="minorEastAsia" w:eastAsiaTheme="minorEastAsia" w:cstheme="minorEastAsia"/>
          <w:color w:val="000000"/>
          <w:kern w:val="0"/>
          <w:sz w:val="28"/>
          <w:szCs w:val="28"/>
          <w:highlight w:val="none"/>
        </w:rPr>
      </w:pPr>
      <w:r>
        <w:rPr>
          <w:rFonts w:hint="eastAsia" w:asciiTheme="minorEastAsia" w:hAnsiTheme="minorEastAsia" w:eastAsiaTheme="minorEastAsia" w:cstheme="minorEastAsia"/>
          <w:sz w:val="28"/>
          <w:szCs w:val="28"/>
          <w:highlight w:val="none"/>
        </w:rPr>
        <w:t>本次绩效评价方法为逻辑分析法、比较法、因素分析法、公众评判法和实地查验等评价方法。评价内容包括项目决策、项目管理、项目绩效三部分内容。主要围绕资金投向、资源配置、项目管理等方面客观分析项目的产出，体现从投入－产出－预期效果对绩效的影响，</w:t>
      </w:r>
      <w:r>
        <w:rPr>
          <w:rFonts w:hint="eastAsia" w:asciiTheme="minorEastAsia" w:hAnsiTheme="minorEastAsia" w:eastAsiaTheme="minorEastAsia" w:cstheme="minorEastAsia"/>
          <w:color w:val="000000"/>
          <w:kern w:val="0"/>
          <w:sz w:val="28"/>
          <w:szCs w:val="28"/>
          <w:highlight w:val="none"/>
        </w:rPr>
        <w:t>通过对项目实施活动中的检查评价，及时发现项目</w:t>
      </w:r>
      <w:r>
        <w:rPr>
          <w:rFonts w:hint="eastAsia" w:asciiTheme="minorEastAsia" w:hAnsiTheme="minorEastAsia" w:eastAsiaTheme="minorEastAsia" w:cstheme="minorEastAsia"/>
          <w:color w:val="000000"/>
          <w:kern w:val="0"/>
          <w:sz w:val="28"/>
          <w:szCs w:val="28"/>
          <w:highlight w:val="none"/>
          <w:lang w:eastAsia="zh-CN"/>
        </w:rPr>
        <w:t>实施</w:t>
      </w:r>
      <w:r>
        <w:rPr>
          <w:rFonts w:hint="eastAsia" w:asciiTheme="minorEastAsia" w:hAnsiTheme="minorEastAsia" w:eastAsiaTheme="minorEastAsia" w:cstheme="minorEastAsia"/>
          <w:color w:val="000000"/>
          <w:kern w:val="0"/>
          <w:sz w:val="28"/>
          <w:szCs w:val="28"/>
          <w:highlight w:val="none"/>
        </w:rPr>
        <w:t>中的问题，分析产生的原因，评价项目的目标是否达到，项目的效益指标是否实现。并有针对性地提出解决问题的对策和措施，以便决策者及时</w:t>
      </w:r>
      <w:r>
        <w:rPr>
          <w:rFonts w:hint="eastAsia" w:asciiTheme="minorEastAsia" w:hAnsiTheme="minorEastAsia" w:eastAsiaTheme="minorEastAsia" w:cstheme="minorEastAsia"/>
          <w:sz w:val="28"/>
          <w:szCs w:val="28"/>
          <w:highlight w:val="none"/>
        </w:rPr>
        <w:t>总结经验，分析问题，</w:t>
      </w:r>
      <w:r>
        <w:rPr>
          <w:rFonts w:hint="eastAsia" w:asciiTheme="minorEastAsia" w:hAnsiTheme="minorEastAsia" w:eastAsiaTheme="minorEastAsia" w:cstheme="minorEastAsia"/>
          <w:bCs/>
          <w:sz w:val="28"/>
          <w:szCs w:val="28"/>
          <w:highlight w:val="none"/>
        </w:rPr>
        <w:t>优化项目资金管理</w:t>
      </w:r>
      <w:r>
        <w:rPr>
          <w:rFonts w:hint="eastAsia" w:asciiTheme="minorEastAsia" w:hAnsiTheme="minorEastAsia" w:eastAsiaTheme="minorEastAsia" w:cstheme="minorEastAsia"/>
          <w:color w:val="000000"/>
          <w:kern w:val="0"/>
          <w:sz w:val="28"/>
          <w:szCs w:val="28"/>
          <w:highlight w:val="none"/>
        </w:rPr>
        <w:t>。</w:t>
      </w:r>
    </w:p>
    <w:p>
      <w:pPr>
        <w:widowControl/>
        <w:spacing w:before="120" w:after="120" w:line="420" w:lineRule="atLeast"/>
        <w:ind w:firstLine="560" w:firstLineChars="200"/>
        <w:jc w:val="left"/>
        <w:rPr>
          <w:rFonts w:hint="eastAsia" w:asciiTheme="minorEastAsia" w:hAnsiTheme="minorEastAsia" w:eastAsiaTheme="minorEastAsia" w:cstheme="minorEastAsia"/>
          <w:b/>
          <w:kern w:val="0"/>
          <w:sz w:val="28"/>
          <w:szCs w:val="28"/>
        </w:rPr>
      </w:pPr>
      <w:r>
        <w:rPr>
          <w:rFonts w:hint="eastAsia" w:asciiTheme="minorEastAsia" w:hAnsiTheme="minorEastAsia" w:eastAsiaTheme="minorEastAsia" w:cstheme="minorEastAsia"/>
          <w:color w:val="000000"/>
          <w:kern w:val="0"/>
          <w:sz w:val="28"/>
          <w:szCs w:val="28"/>
          <w:highlight w:val="none"/>
          <w:lang w:val="en-US" w:eastAsia="zh-CN"/>
        </w:rPr>
        <w:t xml:space="preserve"> </w:t>
      </w:r>
      <w:r>
        <w:rPr>
          <w:rFonts w:hint="eastAsia" w:asciiTheme="minorEastAsia" w:hAnsiTheme="minorEastAsia" w:eastAsiaTheme="minorEastAsia" w:cstheme="minorEastAsia"/>
          <w:b/>
          <w:bCs/>
          <w:sz w:val="28"/>
          <w:szCs w:val="28"/>
        </w:rPr>
        <w:t>（三）</w:t>
      </w:r>
      <w:r>
        <w:rPr>
          <w:rFonts w:hint="eastAsia" w:asciiTheme="minorEastAsia" w:hAnsiTheme="minorEastAsia" w:eastAsiaTheme="minorEastAsia" w:cstheme="minorEastAsia"/>
          <w:b/>
          <w:kern w:val="0"/>
          <w:sz w:val="28"/>
          <w:szCs w:val="28"/>
        </w:rPr>
        <w:t>绩效评价工作实施过程</w:t>
      </w:r>
    </w:p>
    <w:p>
      <w:pPr>
        <w:ind w:firstLine="703" w:firstLineChars="250"/>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1.前期准备</w:t>
      </w:r>
    </w:p>
    <w:p>
      <w:pPr>
        <w:ind w:firstLine="700" w:firstLineChars="250"/>
        <w:rPr>
          <w:rFonts w:hint="eastAsia"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按《</w:t>
      </w:r>
      <w:r>
        <w:rPr>
          <w:rFonts w:hint="eastAsia" w:asciiTheme="minorEastAsia" w:hAnsiTheme="minorEastAsia" w:eastAsiaTheme="minorEastAsia" w:cstheme="minorEastAsia"/>
          <w:sz w:val="28"/>
          <w:szCs w:val="28"/>
          <w:highlight w:val="none"/>
          <w:lang w:eastAsia="zh-CN"/>
        </w:rPr>
        <w:t>通知</w:t>
      </w:r>
      <w:r>
        <w:rPr>
          <w:rFonts w:hint="eastAsia" w:asciiTheme="minorEastAsia" w:hAnsiTheme="minorEastAsia" w:eastAsiaTheme="minorEastAsia" w:cstheme="minorEastAsia"/>
          <w:sz w:val="28"/>
          <w:szCs w:val="28"/>
          <w:highlight w:val="none"/>
        </w:rPr>
        <w:t>》及相关工作要求，前期准备工作分为三个阶段。</w:t>
      </w:r>
    </w:p>
    <w:p>
      <w:pPr>
        <w:ind w:firstLine="700" w:firstLineChars="250"/>
        <w:rPr>
          <w:rFonts w:hint="eastAsia" w:asciiTheme="minorEastAsia" w:hAnsiTheme="minorEastAsia" w:eastAsiaTheme="minorEastAsia" w:cstheme="minorEastAsia"/>
          <w:sz w:val="28"/>
          <w:szCs w:val="28"/>
          <w:highlight w:val="none"/>
          <w:lang w:val="en-US" w:eastAsia="zh-CN"/>
        </w:rPr>
      </w:pPr>
      <w:r>
        <w:rPr>
          <w:rFonts w:hint="eastAsia" w:asciiTheme="minorEastAsia" w:hAnsiTheme="minorEastAsia" w:eastAsiaTheme="minorEastAsia" w:cstheme="minorEastAsia"/>
          <w:sz w:val="28"/>
          <w:szCs w:val="28"/>
          <w:highlight w:val="none"/>
        </w:rPr>
        <w:t>第一阶段，成立了绩效评价工作小组，确定了项目评价负责人，配置相应的评价人员，并对评价参与人员进行相关培训</w:t>
      </w:r>
      <w:r>
        <w:rPr>
          <w:rFonts w:hint="eastAsia" w:asciiTheme="minorEastAsia" w:hAnsiTheme="minorEastAsia" w:eastAsiaTheme="minorEastAsia" w:cstheme="minorEastAsia"/>
          <w:sz w:val="28"/>
          <w:szCs w:val="28"/>
          <w:highlight w:val="none"/>
          <w:lang w:val="en-US" w:eastAsia="zh-CN"/>
        </w:rPr>
        <w:t>。</w:t>
      </w:r>
    </w:p>
    <w:p>
      <w:pPr>
        <w:ind w:firstLine="700" w:firstLineChars="250"/>
        <w:rPr>
          <w:rFonts w:hint="eastAsia" w:asciiTheme="minorEastAsia" w:hAnsiTheme="minorEastAsia" w:eastAsiaTheme="minorEastAsia" w:cstheme="minorEastAsia"/>
          <w:sz w:val="28"/>
          <w:szCs w:val="28"/>
          <w:highlight w:val="none"/>
          <w:lang w:val="en-US" w:eastAsia="zh-CN"/>
        </w:rPr>
      </w:pPr>
      <w:r>
        <w:rPr>
          <w:rFonts w:hint="eastAsia" w:asciiTheme="minorEastAsia" w:hAnsiTheme="minorEastAsia" w:eastAsiaTheme="minorEastAsia" w:cstheme="minorEastAsia"/>
          <w:sz w:val="28"/>
          <w:szCs w:val="28"/>
          <w:highlight w:val="none"/>
        </w:rPr>
        <w:t>第二阶段，20</w:t>
      </w:r>
      <w:r>
        <w:rPr>
          <w:rFonts w:hint="eastAsia" w:asciiTheme="minorEastAsia" w:hAnsiTheme="minorEastAsia" w:eastAsiaTheme="minorEastAsia" w:cstheme="minorEastAsia"/>
          <w:sz w:val="28"/>
          <w:szCs w:val="28"/>
          <w:highlight w:val="none"/>
          <w:lang w:val="en-US" w:eastAsia="zh-CN"/>
        </w:rPr>
        <w:t>23</w:t>
      </w:r>
      <w:r>
        <w:rPr>
          <w:rFonts w:hint="eastAsia" w:asciiTheme="minorEastAsia" w:hAnsiTheme="minorEastAsia" w:eastAsiaTheme="minorEastAsia" w:cstheme="minorEastAsia"/>
          <w:sz w:val="28"/>
          <w:szCs w:val="28"/>
          <w:highlight w:val="none"/>
        </w:rPr>
        <w:t>年</w:t>
      </w:r>
      <w:r>
        <w:rPr>
          <w:rFonts w:hint="eastAsia" w:asciiTheme="minorEastAsia" w:hAnsiTheme="minorEastAsia" w:eastAsiaTheme="minorEastAsia" w:cstheme="minorEastAsia"/>
          <w:sz w:val="28"/>
          <w:szCs w:val="28"/>
          <w:highlight w:val="none"/>
          <w:lang w:val="en-US" w:eastAsia="zh-CN"/>
        </w:rPr>
        <w:t>6</w:t>
      </w:r>
      <w:r>
        <w:rPr>
          <w:rFonts w:hint="eastAsia" w:asciiTheme="minorEastAsia" w:hAnsiTheme="minorEastAsia" w:eastAsiaTheme="minorEastAsia" w:cstheme="minorEastAsia"/>
          <w:sz w:val="28"/>
          <w:szCs w:val="28"/>
          <w:highlight w:val="none"/>
        </w:rPr>
        <w:t>月</w:t>
      </w:r>
      <w:r>
        <w:rPr>
          <w:rFonts w:hint="eastAsia" w:asciiTheme="minorEastAsia" w:hAnsiTheme="minorEastAsia" w:eastAsiaTheme="minorEastAsia" w:cstheme="minorEastAsia"/>
          <w:sz w:val="28"/>
          <w:szCs w:val="28"/>
          <w:highlight w:val="none"/>
          <w:lang w:val="en-US" w:eastAsia="zh-CN"/>
        </w:rPr>
        <w:t>25</w:t>
      </w:r>
      <w:r>
        <w:rPr>
          <w:rFonts w:hint="eastAsia" w:asciiTheme="minorEastAsia" w:hAnsiTheme="minorEastAsia" w:eastAsiaTheme="minorEastAsia" w:cstheme="minorEastAsia"/>
          <w:sz w:val="28"/>
          <w:szCs w:val="28"/>
          <w:highlight w:val="none"/>
        </w:rPr>
        <w:t>日绩效评价工作小组在</w:t>
      </w:r>
      <w:r>
        <w:rPr>
          <w:rFonts w:hint="eastAsia" w:asciiTheme="minorEastAsia" w:hAnsiTheme="minorEastAsia" w:eastAsiaTheme="minorEastAsia" w:cstheme="minorEastAsia"/>
          <w:sz w:val="28"/>
          <w:szCs w:val="28"/>
          <w:highlight w:val="none"/>
          <w:lang w:val="en-US" w:eastAsia="zh-CN"/>
        </w:rPr>
        <w:t>区</w:t>
      </w:r>
      <w:r>
        <w:rPr>
          <w:rFonts w:hint="eastAsia" w:asciiTheme="minorEastAsia" w:hAnsiTheme="minorEastAsia" w:eastAsiaTheme="minorEastAsia" w:cstheme="minorEastAsia"/>
          <w:sz w:val="28"/>
          <w:szCs w:val="28"/>
          <w:highlight w:val="none"/>
        </w:rPr>
        <w:t>财政局绩效评价股的带领下，听取了</w:t>
      </w:r>
      <w:r>
        <w:rPr>
          <w:rFonts w:hint="eastAsia" w:asciiTheme="minorEastAsia" w:hAnsiTheme="minorEastAsia" w:eastAsiaTheme="minorEastAsia" w:cstheme="minorEastAsia"/>
          <w:sz w:val="28"/>
          <w:szCs w:val="28"/>
          <w:highlight w:val="none"/>
          <w:lang w:val="en-US" w:eastAsia="zh-CN"/>
        </w:rPr>
        <w:t>就业服务中心</w:t>
      </w:r>
      <w:r>
        <w:rPr>
          <w:rFonts w:hint="eastAsia" w:asciiTheme="minorEastAsia" w:hAnsiTheme="minorEastAsia" w:eastAsiaTheme="minorEastAsia" w:cstheme="minorEastAsia"/>
          <w:sz w:val="28"/>
          <w:szCs w:val="28"/>
          <w:highlight w:val="none"/>
        </w:rPr>
        <w:t>对项目的情况介绍，初步了解被评价项目的有关基本情况，</w:t>
      </w:r>
      <w:r>
        <w:rPr>
          <w:rFonts w:hint="eastAsia" w:asciiTheme="minorEastAsia" w:hAnsiTheme="minorEastAsia" w:eastAsiaTheme="minorEastAsia" w:cstheme="minorEastAsia"/>
          <w:sz w:val="28"/>
          <w:szCs w:val="28"/>
          <w:highlight w:val="none"/>
          <w:lang w:eastAsia="zh-CN"/>
        </w:rPr>
        <w:t>向</w:t>
      </w:r>
      <w:r>
        <w:rPr>
          <w:rFonts w:hint="eastAsia" w:asciiTheme="minorEastAsia" w:hAnsiTheme="minorEastAsia" w:eastAsiaTheme="minorEastAsia" w:cstheme="minorEastAsia"/>
          <w:sz w:val="28"/>
          <w:szCs w:val="28"/>
          <w:highlight w:val="none"/>
          <w:lang w:val="en-US" w:eastAsia="zh-CN"/>
        </w:rPr>
        <w:t>就业服务中心</w:t>
      </w:r>
      <w:r>
        <w:rPr>
          <w:rFonts w:hint="eastAsia" w:asciiTheme="minorEastAsia" w:hAnsiTheme="minorEastAsia" w:eastAsiaTheme="minorEastAsia" w:cstheme="minorEastAsia"/>
          <w:sz w:val="28"/>
          <w:szCs w:val="28"/>
          <w:highlight w:val="none"/>
          <w:lang w:eastAsia="zh-CN"/>
        </w:rPr>
        <w:t>提交了《绩效评价所需资料清单》</w:t>
      </w:r>
      <w:r>
        <w:rPr>
          <w:rFonts w:hint="eastAsia" w:asciiTheme="minorEastAsia" w:hAnsiTheme="minorEastAsia" w:eastAsiaTheme="minorEastAsia" w:cstheme="minorEastAsia"/>
          <w:sz w:val="28"/>
          <w:szCs w:val="28"/>
          <w:highlight w:val="none"/>
        </w:rPr>
        <w:t>。</w:t>
      </w:r>
    </w:p>
    <w:p>
      <w:pPr>
        <w:ind w:firstLine="700" w:firstLineChars="250"/>
        <w:rPr>
          <w:rFonts w:hint="eastAsia"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第三阶段，根据</w:t>
      </w:r>
      <w:r>
        <w:rPr>
          <w:rFonts w:hint="eastAsia" w:asciiTheme="minorEastAsia" w:hAnsiTheme="minorEastAsia" w:eastAsiaTheme="minorEastAsia" w:cstheme="minorEastAsia"/>
          <w:sz w:val="28"/>
          <w:szCs w:val="28"/>
          <w:highlight w:val="none"/>
          <w:lang w:val="en-US" w:eastAsia="zh-CN"/>
        </w:rPr>
        <w:t>区财政局</w:t>
      </w:r>
      <w:r>
        <w:rPr>
          <w:rFonts w:hint="eastAsia" w:asciiTheme="minorEastAsia" w:hAnsiTheme="minorEastAsia" w:eastAsiaTheme="minorEastAsia" w:cstheme="minorEastAsia"/>
          <w:sz w:val="28"/>
          <w:szCs w:val="28"/>
          <w:highlight w:val="none"/>
        </w:rPr>
        <w:t>绩效评价股的指导意见，绩效评价工作小组制订了绩效评价方案、评价体系指标、调查问卷</w:t>
      </w:r>
      <w:r>
        <w:rPr>
          <w:rFonts w:hint="eastAsia" w:asciiTheme="minorEastAsia" w:hAnsiTheme="minorEastAsia" w:eastAsiaTheme="minorEastAsia" w:cstheme="minorEastAsia"/>
          <w:sz w:val="28"/>
          <w:szCs w:val="28"/>
          <w:highlight w:val="none"/>
          <w:lang w:eastAsia="zh-CN"/>
        </w:rPr>
        <w:t>表（见附件）</w:t>
      </w:r>
      <w:r>
        <w:rPr>
          <w:rFonts w:hint="eastAsia" w:asciiTheme="minorEastAsia" w:hAnsiTheme="minorEastAsia" w:eastAsiaTheme="minorEastAsia" w:cstheme="minorEastAsia"/>
          <w:sz w:val="28"/>
          <w:szCs w:val="28"/>
          <w:highlight w:val="none"/>
        </w:rPr>
        <w:t>等。</w:t>
      </w:r>
    </w:p>
    <w:p>
      <w:pPr>
        <w:rPr>
          <w:rFonts w:hint="eastAsia" w:asciiTheme="minorEastAsia" w:hAnsiTheme="minorEastAsia" w:eastAsiaTheme="minorEastAsia" w:cstheme="minorEastAsia"/>
          <w:b/>
          <w:sz w:val="28"/>
          <w:szCs w:val="28"/>
          <w:highlight w:val="none"/>
        </w:rPr>
      </w:pPr>
      <w:r>
        <w:rPr>
          <w:rFonts w:hint="eastAsia" w:asciiTheme="minorEastAsia" w:hAnsiTheme="minorEastAsia" w:eastAsiaTheme="minorEastAsia" w:cstheme="minorEastAsia"/>
          <w:kern w:val="0"/>
          <w:sz w:val="28"/>
          <w:szCs w:val="28"/>
          <w:highlight w:val="none"/>
        </w:rPr>
        <w:t xml:space="preserve">    </w:t>
      </w:r>
      <w:r>
        <w:rPr>
          <w:rFonts w:hint="eastAsia" w:asciiTheme="minorEastAsia" w:hAnsiTheme="minorEastAsia" w:eastAsiaTheme="minorEastAsia" w:cstheme="minorEastAsia"/>
          <w:b/>
          <w:sz w:val="28"/>
          <w:szCs w:val="28"/>
          <w:highlight w:val="none"/>
        </w:rPr>
        <w:t xml:space="preserve"> 2.组织实施过程</w:t>
      </w:r>
    </w:p>
    <w:p>
      <w:pPr>
        <w:ind w:firstLine="548" w:firstLineChars="196"/>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20</w:t>
      </w:r>
      <w:r>
        <w:rPr>
          <w:rFonts w:hint="eastAsia" w:asciiTheme="minorEastAsia" w:hAnsiTheme="minorEastAsia" w:eastAsiaTheme="minorEastAsia" w:cstheme="minorEastAsia"/>
          <w:sz w:val="28"/>
          <w:szCs w:val="28"/>
          <w:lang w:val="en-US" w:eastAsia="zh-CN"/>
        </w:rPr>
        <w:t>23</w:t>
      </w:r>
      <w:r>
        <w:rPr>
          <w:rFonts w:hint="eastAsia" w:asciiTheme="minorEastAsia" w:hAnsiTheme="minorEastAsia" w:eastAsiaTheme="minorEastAsia" w:cstheme="minorEastAsia"/>
          <w:sz w:val="28"/>
          <w:szCs w:val="28"/>
        </w:rPr>
        <w:t>年</w:t>
      </w:r>
      <w:r>
        <w:rPr>
          <w:rFonts w:hint="eastAsia" w:asciiTheme="minorEastAsia" w:hAnsiTheme="minorEastAsia" w:eastAsiaTheme="minorEastAsia" w:cstheme="minorEastAsia"/>
          <w:sz w:val="28"/>
          <w:szCs w:val="28"/>
          <w:lang w:val="en-US" w:eastAsia="zh-CN"/>
        </w:rPr>
        <w:t>6</w:t>
      </w:r>
      <w:r>
        <w:rPr>
          <w:rFonts w:hint="eastAsia" w:asciiTheme="minorEastAsia" w:hAnsiTheme="minorEastAsia" w:eastAsiaTheme="minorEastAsia" w:cstheme="minorEastAsia"/>
          <w:sz w:val="28"/>
          <w:szCs w:val="28"/>
        </w:rPr>
        <w:t>月，绩效评价工作小组调阅项目单位相关资料、核实</w:t>
      </w:r>
      <w:r>
        <w:rPr>
          <w:rFonts w:hint="eastAsia" w:asciiTheme="minorEastAsia" w:hAnsiTheme="minorEastAsia" w:eastAsiaTheme="minorEastAsia" w:cstheme="minorEastAsia"/>
          <w:sz w:val="28"/>
          <w:szCs w:val="28"/>
          <w:lang w:eastAsia="zh-CN"/>
        </w:rPr>
        <w:t>资金拨付情况、</w:t>
      </w:r>
      <w:r>
        <w:rPr>
          <w:rFonts w:hint="eastAsia" w:asciiTheme="minorEastAsia" w:hAnsiTheme="minorEastAsia" w:eastAsiaTheme="minorEastAsia" w:cstheme="minorEastAsia"/>
          <w:sz w:val="28"/>
          <w:szCs w:val="28"/>
        </w:rPr>
        <w:t>询问等方式对项目展开考评。</w:t>
      </w:r>
    </w:p>
    <w:p>
      <w:pPr>
        <w:ind w:firstLine="548" w:firstLineChars="196"/>
        <w:rPr>
          <w:rFonts w:hint="eastAsia"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rPr>
        <w:t>（1）资料收集</w:t>
      </w:r>
      <w:r>
        <w:rPr>
          <w:rFonts w:hint="eastAsia" w:asciiTheme="minorEastAsia" w:hAnsiTheme="minorEastAsia" w:eastAsiaTheme="minorEastAsia" w:cstheme="minorEastAsia"/>
          <w:strike w:val="0"/>
          <w:dstrike w:val="0"/>
          <w:color w:val="auto"/>
          <w:sz w:val="28"/>
          <w:szCs w:val="28"/>
          <w:lang w:eastAsia="zh-CN"/>
        </w:rPr>
        <w:t>，确定项目目标</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绩效评价工作小组搜集并认真学习研究了项</w:t>
      </w:r>
      <w:r>
        <w:rPr>
          <w:rFonts w:hint="eastAsia" w:asciiTheme="minorEastAsia" w:hAnsiTheme="minorEastAsia" w:eastAsiaTheme="minorEastAsia" w:cstheme="minorEastAsia"/>
          <w:sz w:val="28"/>
          <w:szCs w:val="28"/>
          <w:highlight w:val="none"/>
        </w:rPr>
        <w:t>目相关的政策性文件和业务文件、管理办法等</w:t>
      </w:r>
      <w:r>
        <w:rPr>
          <w:rFonts w:hint="eastAsia" w:asciiTheme="minorEastAsia" w:hAnsiTheme="minorEastAsia" w:eastAsiaTheme="minorEastAsia" w:cstheme="minorEastAsia"/>
          <w:sz w:val="28"/>
          <w:szCs w:val="28"/>
          <w:highlight w:val="none"/>
          <w:lang w:eastAsia="zh-CN"/>
        </w:rPr>
        <w:t>，进行认真研究。</w:t>
      </w:r>
    </w:p>
    <w:p>
      <w:pPr>
        <w:ind w:firstLine="548" w:firstLineChars="196"/>
        <w:rPr>
          <w:rFonts w:hint="eastAsia"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lang w:eastAsia="zh-CN"/>
        </w:rPr>
        <w:t>（</w:t>
      </w:r>
      <w:r>
        <w:rPr>
          <w:rFonts w:hint="eastAsia" w:asciiTheme="minorEastAsia" w:hAnsiTheme="minorEastAsia" w:eastAsiaTheme="minorEastAsia" w:cstheme="minorEastAsia"/>
          <w:sz w:val="28"/>
          <w:szCs w:val="28"/>
          <w:highlight w:val="none"/>
          <w:lang w:val="en-US" w:eastAsia="zh-CN"/>
        </w:rPr>
        <w:t>2）核实账目资金</w:t>
      </w:r>
      <w:r>
        <w:rPr>
          <w:rFonts w:hint="eastAsia" w:asciiTheme="minorEastAsia" w:hAnsiTheme="minorEastAsia" w:eastAsiaTheme="minorEastAsia" w:cstheme="minorEastAsia"/>
          <w:sz w:val="28"/>
          <w:szCs w:val="28"/>
          <w:highlight w:val="none"/>
        </w:rPr>
        <w:t>。</w:t>
      </w:r>
    </w:p>
    <w:p>
      <w:pPr>
        <w:ind w:firstLine="548" w:firstLineChars="196"/>
        <w:rPr>
          <w:rFonts w:hint="eastAsia"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w:t>
      </w:r>
      <w:r>
        <w:rPr>
          <w:rFonts w:hint="eastAsia" w:asciiTheme="minorEastAsia" w:hAnsiTheme="minorEastAsia" w:eastAsiaTheme="minorEastAsia" w:cstheme="minorEastAsia"/>
          <w:sz w:val="28"/>
          <w:szCs w:val="28"/>
          <w:highlight w:val="none"/>
          <w:lang w:val="en-US" w:eastAsia="zh-CN"/>
        </w:rPr>
        <w:t>3</w:t>
      </w:r>
      <w:r>
        <w:rPr>
          <w:rFonts w:hint="eastAsia" w:asciiTheme="minorEastAsia" w:hAnsiTheme="minorEastAsia" w:eastAsiaTheme="minorEastAsia" w:cstheme="minorEastAsia"/>
          <w:sz w:val="28"/>
          <w:szCs w:val="28"/>
          <w:highlight w:val="none"/>
        </w:rPr>
        <w:t>）调查问卷。</w:t>
      </w:r>
      <w:r>
        <w:rPr>
          <w:rFonts w:hint="eastAsia" w:asciiTheme="minorEastAsia" w:hAnsiTheme="minorEastAsia" w:eastAsiaTheme="minorEastAsia" w:cstheme="minorEastAsia"/>
          <w:color w:val="auto"/>
          <w:sz w:val="28"/>
          <w:szCs w:val="28"/>
          <w:highlight w:val="none"/>
          <w:lang w:eastAsia="zh-CN"/>
        </w:rPr>
        <w:t>调查问卷共</w:t>
      </w:r>
      <w:r>
        <w:rPr>
          <w:rFonts w:hint="eastAsia" w:asciiTheme="minorEastAsia" w:hAnsiTheme="minorEastAsia" w:eastAsiaTheme="minorEastAsia" w:cstheme="minorEastAsia"/>
          <w:color w:val="auto"/>
          <w:sz w:val="28"/>
          <w:szCs w:val="28"/>
          <w:highlight w:val="none"/>
          <w:lang w:val="en-US" w:eastAsia="zh-CN"/>
        </w:rPr>
        <w:t>10题，内容主要涉及到对就业补助资金发放满意程度</w:t>
      </w:r>
      <w:r>
        <w:rPr>
          <w:rFonts w:hint="eastAsia" w:asciiTheme="minorEastAsia" w:hAnsiTheme="minorEastAsia" w:eastAsiaTheme="minorEastAsia" w:cstheme="minorEastAsia"/>
          <w:color w:val="auto"/>
          <w:sz w:val="28"/>
          <w:szCs w:val="28"/>
          <w:highlight w:val="none"/>
          <w:lang w:eastAsia="zh-CN"/>
        </w:rPr>
        <w:t>等方面内容。</w:t>
      </w:r>
      <w:r>
        <w:rPr>
          <w:rFonts w:hint="eastAsia" w:asciiTheme="minorEastAsia" w:hAnsiTheme="minorEastAsia" w:eastAsiaTheme="minorEastAsia" w:cstheme="minorEastAsia"/>
          <w:color w:val="auto"/>
          <w:sz w:val="28"/>
          <w:szCs w:val="28"/>
          <w:highlight w:val="none"/>
          <w:lang w:val="en-US" w:eastAsia="zh-CN"/>
        </w:rPr>
        <w:t>发放调查问卷共20份，</w:t>
      </w:r>
      <w:r>
        <w:rPr>
          <w:rFonts w:hint="eastAsia" w:asciiTheme="minorEastAsia" w:hAnsiTheme="minorEastAsia" w:eastAsiaTheme="minorEastAsia" w:cstheme="minorEastAsia"/>
          <w:color w:val="auto"/>
          <w:sz w:val="28"/>
          <w:szCs w:val="28"/>
        </w:rPr>
        <w:t>回收有效问卷</w:t>
      </w:r>
      <w:r>
        <w:rPr>
          <w:rFonts w:hint="eastAsia" w:asciiTheme="minorEastAsia" w:hAnsiTheme="minorEastAsia" w:eastAsiaTheme="minorEastAsia" w:cstheme="minorEastAsia"/>
          <w:color w:val="auto"/>
          <w:sz w:val="28"/>
          <w:szCs w:val="28"/>
          <w:lang w:val="en-US" w:eastAsia="zh-CN"/>
        </w:rPr>
        <w:t>20人</w:t>
      </w:r>
      <w:r>
        <w:rPr>
          <w:rFonts w:hint="eastAsia" w:asciiTheme="minorEastAsia" w:hAnsiTheme="minorEastAsia" w:eastAsiaTheme="minorEastAsia" w:cstheme="minorEastAsia"/>
          <w:color w:val="auto"/>
          <w:sz w:val="28"/>
          <w:szCs w:val="28"/>
        </w:rPr>
        <w:t>/次，回收率100%</w:t>
      </w:r>
      <w:r>
        <w:rPr>
          <w:rFonts w:hint="eastAsia" w:asciiTheme="minorEastAsia" w:hAnsiTheme="minorEastAsia" w:eastAsiaTheme="minorEastAsia" w:cstheme="minorEastAsia"/>
          <w:color w:val="auto"/>
          <w:sz w:val="28"/>
          <w:szCs w:val="28"/>
          <w:highlight w:val="none"/>
          <w:lang w:val="en-US" w:eastAsia="zh-CN"/>
        </w:rPr>
        <w:t>。</w:t>
      </w:r>
    </w:p>
    <w:p>
      <w:pPr>
        <w:tabs>
          <w:tab w:val="left" w:pos="0"/>
        </w:tabs>
        <w:spacing w:line="620" w:lineRule="exact"/>
        <w:ind w:firstLine="562" w:firstLineChars="200"/>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3.分析评价</w:t>
      </w:r>
    </w:p>
    <w:p>
      <w:pPr>
        <w:pStyle w:val="34"/>
        <w:ind w:firstLine="560" w:firstLineChars="200"/>
        <w:rPr>
          <w:rFonts w:hint="eastAsia" w:asciiTheme="minorEastAsia" w:hAnsiTheme="minorEastAsia" w:eastAsiaTheme="minorEastAsia" w:cstheme="minorEastAsia"/>
          <w:sz w:val="28"/>
          <w:szCs w:val="28"/>
          <w:highlight w:val="none"/>
          <w:lang w:val="en-US" w:eastAsia="zh-CN"/>
        </w:rPr>
      </w:pPr>
      <w:r>
        <w:rPr>
          <w:rFonts w:hint="eastAsia" w:asciiTheme="minorEastAsia" w:hAnsiTheme="minorEastAsia" w:eastAsiaTheme="minorEastAsia" w:cstheme="minorEastAsia"/>
          <w:sz w:val="28"/>
          <w:szCs w:val="28"/>
          <w:highlight w:val="none"/>
        </w:rPr>
        <w:t>根据现场考评情况，对收集的资料进行整理、汇总分析，根据设定的绩效评价指标体系制订了评价指标底稿，每个底稿均有扣分、得分依据、附件内容、评价人员意见等，根据底稿汇总，制订了绩效评价评分汇总表，最终形成《</w:t>
      </w:r>
      <w:r>
        <w:rPr>
          <w:rFonts w:hint="eastAsia" w:asciiTheme="minorEastAsia" w:hAnsiTheme="minorEastAsia" w:eastAsiaTheme="minorEastAsia" w:cstheme="minorEastAsia"/>
          <w:sz w:val="28"/>
          <w:szCs w:val="28"/>
          <w:highlight w:val="none"/>
          <w:lang w:val="en-US" w:eastAsia="zh-CN"/>
        </w:rPr>
        <w:t>云溪区就业服务中心2022年度就业补助资金绩效评价报告书</w:t>
      </w:r>
      <w:r>
        <w:rPr>
          <w:rFonts w:hint="eastAsia" w:asciiTheme="minorEastAsia" w:hAnsiTheme="minorEastAsia" w:eastAsiaTheme="minorEastAsia" w:cstheme="minorEastAsia"/>
          <w:sz w:val="28"/>
          <w:szCs w:val="28"/>
          <w:highlight w:val="none"/>
        </w:rPr>
        <w:t>》。</w:t>
      </w:r>
    </w:p>
    <w:p>
      <w:pPr>
        <w:numPr>
          <w:ilvl w:val="0"/>
          <w:numId w:val="0"/>
        </w:numPr>
        <w:spacing w:line="600" w:lineRule="exact"/>
        <w:ind w:leftChars="200" w:firstLine="281" w:firstLineChars="10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b/>
          <w:bCs/>
          <w:sz w:val="28"/>
          <w:szCs w:val="28"/>
          <w:lang w:eastAsia="zh-CN"/>
        </w:rPr>
        <w:t>（四）绩效目标的实现程度</w:t>
      </w:r>
    </w:p>
    <w:p>
      <w:pPr>
        <w:numPr>
          <w:ilvl w:val="0"/>
          <w:numId w:val="0"/>
        </w:numPr>
        <w:ind w:firstLine="843" w:firstLineChars="300"/>
        <w:jc w:val="left"/>
        <w:rPr>
          <w:rFonts w:hint="eastAsia" w:asciiTheme="minorEastAsia" w:hAnsiTheme="minorEastAsia" w:eastAsiaTheme="minorEastAsia" w:cstheme="minorEastAsia"/>
          <w:b/>
          <w:bCs/>
          <w:kern w:val="0"/>
          <w:sz w:val="28"/>
          <w:szCs w:val="28"/>
        </w:rPr>
      </w:pPr>
      <w:r>
        <w:rPr>
          <w:rFonts w:hint="eastAsia" w:asciiTheme="minorEastAsia" w:hAnsiTheme="minorEastAsia" w:eastAsiaTheme="minorEastAsia" w:cstheme="minorEastAsia"/>
          <w:b/>
          <w:bCs/>
          <w:kern w:val="0"/>
          <w:sz w:val="28"/>
          <w:szCs w:val="28"/>
          <w:lang w:val="en-US" w:eastAsia="zh-CN"/>
        </w:rPr>
        <w:t>1、</w:t>
      </w:r>
      <w:r>
        <w:rPr>
          <w:rFonts w:hint="eastAsia" w:asciiTheme="minorEastAsia" w:hAnsiTheme="minorEastAsia" w:eastAsiaTheme="minorEastAsia" w:cstheme="minorEastAsia"/>
          <w:b/>
          <w:bCs/>
          <w:kern w:val="0"/>
          <w:sz w:val="28"/>
          <w:szCs w:val="28"/>
        </w:rPr>
        <w:t>项目产出完成情况及分析</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rPr>
          <w:rFonts w:hint="eastAsia" w:asciiTheme="minorEastAsia" w:hAnsiTheme="minorEastAsia" w:eastAsiaTheme="minorEastAsia" w:cstheme="minorEastAsia"/>
          <w:kern w:val="2"/>
          <w:sz w:val="28"/>
          <w:szCs w:val="28"/>
          <w:highlight w:val="none"/>
          <w:lang w:val="en-US" w:eastAsia="zh-CN" w:bidi="ar-SA"/>
        </w:rPr>
      </w:pPr>
      <w:r>
        <w:rPr>
          <w:rFonts w:hint="eastAsia" w:asciiTheme="minorEastAsia" w:hAnsiTheme="minorEastAsia" w:eastAsiaTheme="minorEastAsia" w:cstheme="minorEastAsia"/>
          <w:kern w:val="2"/>
          <w:sz w:val="28"/>
          <w:szCs w:val="28"/>
          <w:highlight w:val="none"/>
          <w:lang w:val="en-US" w:eastAsia="zh-CN" w:bidi="ar-SA"/>
        </w:rPr>
        <w:t>（1）完成新增城镇就业2613人，完成目标任务2600人的100.5%。</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rPr>
          <w:rFonts w:hint="eastAsia" w:asciiTheme="minorEastAsia" w:hAnsiTheme="minorEastAsia" w:eastAsiaTheme="minorEastAsia" w:cstheme="minorEastAsia"/>
          <w:kern w:val="2"/>
          <w:sz w:val="28"/>
          <w:szCs w:val="28"/>
          <w:highlight w:val="none"/>
          <w:lang w:val="en-US" w:eastAsia="zh-CN" w:bidi="ar-SA"/>
        </w:rPr>
      </w:pPr>
      <w:r>
        <w:rPr>
          <w:rFonts w:hint="eastAsia" w:asciiTheme="minorEastAsia" w:hAnsiTheme="minorEastAsia" w:eastAsiaTheme="minorEastAsia" w:cstheme="minorEastAsia"/>
          <w:kern w:val="2"/>
          <w:sz w:val="28"/>
          <w:szCs w:val="28"/>
          <w:highlight w:val="none"/>
          <w:lang w:val="en-US" w:eastAsia="zh-CN" w:bidi="ar-SA"/>
        </w:rPr>
        <w:t>（2）重点群体就业情况。2022年，就业服务中心完成失业人员再就业702人，完成目标任务700人的100.3%；困难人员再就业 203人，完成目标任务200人的101.5%；完成新增农村劳动力转移就业1021人，享受社会保险补贴23人，享受公益性岗位补贴389人，享受就业见习补贴95人，促进了高校毕业生为重点的青年就业和农村转移劳动力、城镇困难人员、退役军人等重点群体就业。</w:t>
      </w:r>
    </w:p>
    <w:p>
      <w:pPr>
        <w:ind w:firstLine="560" w:firstLineChars="200"/>
        <w:rPr>
          <w:rFonts w:hint="eastAsia" w:asciiTheme="minorEastAsia" w:hAnsiTheme="minorEastAsia" w:eastAsiaTheme="minorEastAsia" w:cstheme="minorEastAsia"/>
          <w:kern w:val="2"/>
          <w:sz w:val="28"/>
          <w:szCs w:val="28"/>
          <w:highlight w:val="none"/>
          <w:lang w:val="en-US" w:eastAsia="zh-CN" w:bidi="ar-SA"/>
        </w:rPr>
      </w:pPr>
      <w:r>
        <w:rPr>
          <w:rFonts w:hint="eastAsia" w:asciiTheme="minorEastAsia" w:hAnsiTheme="minorEastAsia" w:eastAsiaTheme="minorEastAsia" w:cstheme="minorEastAsia"/>
          <w:kern w:val="2"/>
          <w:sz w:val="28"/>
          <w:szCs w:val="28"/>
          <w:highlight w:val="none"/>
          <w:lang w:val="en-US" w:eastAsia="zh-CN" w:bidi="ar-SA"/>
        </w:rPr>
        <w:t>（3）就业资金保障情况。本级财政配套就业资金125万元已入就业资金专户。就业资金线上经办率74.87%，就业资金支出进度100%。</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rPr>
          <w:rFonts w:hint="eastAsia" w:asciiTheme="minorEastAsia" w:hAnsiTheme="minorEastAsia" w:eastAsiaTheme="minorEastAsia" w:cstheme="minorEastAsia"/>
          <w:kern w:val="2"/>
          <w:sz w:val="28"/>
          <w:szCs w:val="28"/>
          <w:highlight w:val="none"/>
          <w:lang w:val="en-US" w:eastAsia="zh-CN" w:bidi="ar-SA"/>
        </w:rPr>
      </w:pPr>
      <w:r>
        <w:rPr>
          <w:rFonts w:hint="eastAsia" w:asciiTheme="minorEastAsia" w:hAnsiTheme="minorEastAsia" w:eastAsiaTheme="minorEastAsia" w:cstheme="minorEastAsia"/>
          <w:kern w:val="2"/>
          <w:sz w:val="28"/>
          <w:szCs w:val="28"/>
          <w:highlight w:val="none"/>
          <w:lang w:val="en-US" w:eastAsia="zh-CN" w:bidi="ar-SA"/>
        </w:rPr>
        <w:t>（4）创业工作成效情况。开展创业培训9期培训274人，取得合格证书248人；为54个创业主体和3家小微企业发放创业贷款1440万元；湖南岳阳绿色化工高新技术产业区科技创业服务中心成功申报区级孵化基地，目前已有70家创业实体和创业项目入住该孵化基地。</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rPr>
          <w:rFonts w:hint="eastAsia" w:asciiTheme="minorEastAsia" w:hAnsiTheme="minorEastAsia" w:eastAsiaTheme="minorEastAsia" w:cstheme="minorEastAsia"/>
          <w:kern w:val="2"/>
          <w:sz w:val="28"/>
          <w:szCs w:val="28"/>
          <w:highlight w:val="none"/>
          <w:lang w:val="en-US" w:eastAsia="zh-CN" w:bidi="ar-SA"/>
        </w:rPr>
      </w:pPr>
      <w:r>
        <w:rPr>
          <w:rFonts w:hint="eastAsia" w:asciiTheme="minorEastAsia" w:hAnsiTheme="minorEastAsia" w:eastAsiaTheme="minorEastAsia" w:cstheme="minorEastAsia"/>
          <w:kern w:val="2"/>
          <w:sz w:val="28"/>
          <w:szCs w:val="28"/>
          <w:highlight w:val="none"/>
          <w:lang w:val="en-US" w:eastAsia="zh-CN" w:bidi="ar-SA"/>
        </w:rPr>
        <w:t>（5）职业技能培训情况。举办了家政服务员、劳动关系协调员安全员、电工、仪器仪表维修工、保安员、包装工、林木种苗工等18期职业技能培训班，培训889人。</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rPr>
          <w:rFonts w:hint="default" w:asciiTheme="minorEastAsia" w:hAnsiTheme="minorEastAsia" w:eastAsiaTheme="minorEastAsia" w:cstheme="minorEastAsia"/>
          <w:kern w:val="2"/>
          <w:sz w:val="28"/>
          <w:szCs w:val="28"/>
          <w:highlight w:val="none"/>
          <w:lang w:val="en-US" w:eastAsia="zh-CN" w:bidi="ar-SA"/>
        </w:rPr>
      </w:pPr>
      <w:r>
        <w:rPr>
          <w:rFonts w:hint="eastAsia" w:asciiTheme="minorEastAsia" w:hAnsiTheme="minorEastAsia" w:eastAsiaTheme="minorEastAsia" w:cstheme="minorEastAsia"/>
          <w:kern w:val="2"/>
          <w:sz w:val="28"/>
          <w:szCs w:val="28"/>
          <w:highlight w:val="none"/>
          <w:lang w:val="en-US" w:eastAsia="zh-CN" w:bidi="ar-SA"/>
        </w:rPr>
        <w:t>云溪就业服务中心认真落实就业援助政策，多渠道开发就业援助岗位，强化服务职能，较好的完成了目标任务。</w:t>
      </w:r>
    </w:p>
    <w:p>
      <w:pPr>
        <w:ind w:firstLine="562" w:firstLineChars="200"/>
        <w:jc w:val="left"/>
        <w:rPr>
          <w:rFonts w:hint="eastAsia" w:asciiTheme="minorEastAsia" w:hAnsiTheme="minorEastAsia" w:eastAsiaTheme="minorEastAsia" w:cstheme="minorEastAsia"/>
          <w:b/>
          <w:kern w:val="0"/>
          <w:sz w:val="28"/>
          <w:szCs w:val="28"/>
        </w:rPr>
      </w:pPr>
      <w:r>
        <w:rPr>
          <w:rFonts w:hint="eastAsia" w:asciiTheme="minorEastAsia" w:hAnsiTheme="minorEastAsia" w:eastAsiaTheme="minorEastAsia" w:cstheme="minorEastAsia"/>
          <w:b/>
          <w:kern w:val="0"/>
          <w:sz w:val="28"/>
          <w:szCs w:val="28"/>
          <w:lang w:val="en-US" w:eastAsia="zh-CN"/>
        </w:rPr>
        <w:t>2、</w:t>
      </w:r>
      <w:r>
        <w:rPr>
          <w:rFonts w:hint="eastAsia" w:asciiTheme="minorEastAsia" w:hAnsiTheme="minorEastAsia" w:eastAsiaTheme="minorEastAsia" w:cstheme="minorEastAsia"/>
          <w:b/>
          <w:kern w:val="0"/>
          <w:sz w:val="28"/>
          <w:szCs w:val="28"/>
        </w:rPr>
        <w:t>产出质量情况分析</w:t>
      </w:r>
    </w:p>
    <w:p>
      <w:pPr>
        <w:ind w:firstLine="560" w:firstLineChars="200"/>
        <w:jc w:val="left"/>
        <w:rPr>
          <w:rFonts w:hint="eastAsia" w:asciiTheme="minorEastAsia" w:hAnsiTheme="minorEastAsia" w:eastAsiaTheme="minorEastAsia" w:cstheme="minorEastAsia"/>
          <w:i w:val="0"/>
          <w:color w:val="auto"/>
          <w:kern w:val="0"/>
          <w:sz w:val="28"/>
          <w:szCs w:val="28"/>
          <w:lang w:val="en-US" w:eastAsia="zh-CN" w:bidi="ar"/>
        </w:rPr>
      </w:pPr>
      <w:r>
        <w:rPr>
          <w:rFonts w:hint="eastAsia" w:asciiTheme="minorEastAsia" w:hAnsiTheme="minorEastAsia" w:eastAsiaTheme="minorEastAsia" w:cstheme="minorEastAsia"/>
          <w:i w:val="0"/>
          <w:color w:val="auto"/>
          <w:kern w:val="0"/>
          <w:sz w:val="28"/>
          <w:szCs w:val="28"/>
          <w:lang w:val="en-US" w:eastAsia="zh-CN" w:bidi="ar"/>
        </w:rPr>
        <w:t>（1）项目运行质量：</w:t>
      </w:r>
      <w:r>
        <w:rPr>
          <w:rFonts w:hint="eastAsia" w:asciiTheme="minorEastAsia" w:hAnsiTheme="minorEastAsia" w:eastAsiaTheme="minorEastAsia" w:cstheme="minorEastAsia"/>
          <w:kern w:val="2"/>
          <w:sz w:val="28"/>
          <w:szCs w:val="28"/>
          <w:lang w:val="en-US" w:eastAsia="zh-CN" w:bidi="ar-SA"/>
        </w:rPr>
        <w:t>良好</w:t>
      </w:r>
      <w:r>
        <w:rPr>
          <w:rFonts w:hint="eastAsia" w:asciiTheme="minorEastAsia" w:hAnsiTheme="minorEastAsia" w:eastAsiaTheme="minorEastAsia" w:cstheme="minorEastAsia"/>
          <w:i w:val="0"/>
          <w:color w:val="auto"/>
          <w:kern w:val="0"/>
          <w:sz w:val="28"/>
          <w:szCs w:val="28"/>
          <w:lang w:val="en-US" w:eastAsia="zh-CN" w:bidi="ar"/>
        </w:rPr>
        <w:t>。</w:t>
      </w:r>
    </w:p>
    <w:p>
      <w:pPr>
        <w:ind w:firstLine="560" w:firstLineChars="200"/>
        <w:jc w:val="left"/>
        <w:rPr>
          <w:rFonts w:hint="eastAsia" w:asciiTheme="minorEastAsia" w:hAnsiTheme="minorEastAsia" w:eastAsiaTheme="minorEastAsia" w:cstheme="minorEastAsia"/>
          <w:i w:val="0"/>
          <w:color w:val="auto"/>
          <w:kern w:val="0"/>
          <w:sz w:val="28"/>
          <w:szCs w:val="28"/>
          <w:highlight w:val="yellow"/>
          <w:lang w:val="en-US" w:eastAsia="zh-CN" w:bidi="ar"/>
        </w:rPr>
      </w:pPr>
      <w:r>
        <w:rPr>
          <w:rFonts w:hint="eastAsia" w:asciiTheme="minorEastAsia" w:hAnsiTheme="minorEastAsia" w:eastAsiaTheme="minorEastAsia" w:cstheme="minorEastAsia"/>
          <w:i w:val="0"/>
          <w:color w:val="auto"/>
          <w:kern w:val="0"/>
          <w:sz w:val="28"/>
          <w:szCs w:val="28"/>
          <w:lang w:val="en-US" w:eastAsia="zh-CN" w:bidi="ar"/>
        </w:rPr>
        <w:t>（2）服务质量：通过问卷调查</w:t>
      </w:r>
      <w:r>
        <w:rPr>
          <w:rFonts w:hint="eastAsia" w:asciiTheme="minorEastAsia" w:hAnsiTheme="minorEastAsia" w:eastAsiaTheme="minorEastAsia" w:cstheme="minorEastAsia"/>
          <w:i w:val="0"/>
          <w:color w:val="auto"/>
          <w:kern w:val="0"/>
          <w:sz w:val="28"/>
          <w:szCs w:val="28"/>
          <w:highlight w:val="none"/>
          <w:lang w:val="en-US" w:eastAsia="zh-CN" w:bidi="ar"/>
        </w:rPr>
        <w:t>，就业服务中心为项目提供的服务质量、服务态度、办事效率情况满意度高。</w:t>
      </w:r>
    </w:p>
    <w:p>
      <w:pPr>
        <w:ind w:firstLine="560" w:firstLineChars="200"/>
        <w:jc w:val="left"/>
        <w:rPr>
          <w:rFonts w:hint="eastAsia" w:asciiTheme="minorEastAsia" w:hAnsiTheme="minorEastAsia" w:eastAsiaTheme="minorEastAsia" w:cstheme="minorEastAsia"/>
          <w:i w:val="0"/>
          <w:color w:val="auto"/>
          <w:kern w:val="0"/>
          <w:sz w:val="28"/>
          <w:szCs w:val="28"/>
          <w:lang w:val="en-US" w:eastAsia="zh-CN" w:bidi="ar"/>
        </w:rPr>
      </w:pPr>
      <w:r>
        <w:rPr>
          <w:rFonts w:hint="eastAsia" w:asciiTheme="minorEastAsia" w:hAnsiTheme="minorEastAsia" w:eastAsiaTheme="minorEastAsia" w:cstheme="minorEastAsia"/>
          <w:i w:val="0"/>
          <w:color w:val="auto"/>
          <w:kern w:val="0"/>
          <w:sz w:val="28"/>
          <w:szCs w:val="28"/>
          <w:lang w:val="en-US" w:eastAsia="zh-CN" w:bidi="ar"/>
        </w:rPr>
        <w:t>（3</w:t>
      </w:r>
      <w:r>
        <w:rPr>
          <w:rFonts w:hint="eastAsia" w:asciiTheme="minorEastAsia" w:hAnsiTheme="minorEastAsia" w:eastAsiaTheme="minorEastAsia" w:cstheme="minorEastAsia"/>
          <w:i w:val="0"/>
          <w:color w:val="auto"/>
          <w:kern w:val="0"/>
          <w:sz w:val="28"/>
          <w:szCs w:val="28"/>
          <w:highlight w:val="none"/>
          <w:lang w:val="en-US" w:eastAsia="zh-CN" w:bidi="ar"/>
        </w:rPr>
        <w:t>）通过问卷调查、查询相关通报及公开网络，未发现有举报就业服务中心工作人员在项目运行中发生违规违纪等廉政方面问题。</w:t>
      </w:r>
    </w:p>
    <w:p>
      <w:pPr>
        <w:ind w:firstLine="562" w:firstLineChars="200"/>
        <w:jc w:val="left"/>
        <w:rPr>
          <w:rFonts w:hint="eastAsia" w:asciiTheme="minorEastAsia" w:hAnsiTheme="minorEastAsia" w:eastAsiaTheme="minorEastAsia" w:cstheme="minorEastAsia"/>
          <w:i w:val="0"/>
          <w:color w:val="auto"/>
          <w:kern w:val="0"/>
          <w:sz w:val="28"/>
          <w:szCs w:val="28"/>
          <w:highlight w:val="yellow"/>
          <w:lang w:val="en-US" w:eastAsia="zh-CN" w:bidi="ar"/>
        </w:rPr>
      </w:pPr>
      <w:r>
        <w:rPr>
          <w:rFonts w:hint="eastAsia" w:asciiTheme="minorEastAsia" w:hAnsiTheme="minorEastAsia" w:eastAsiaTheme="minorEastAsia" w:cstheme="minorEastAsia"/>
          <w:b/>
          <w:bCs/>
          <w:i w:val="0"/>
          <w:color w:val="333333"/>
          <w:kern w:val="0"/>
          <w:sz w:val="28"/>
          <w:szCs w:val="28"/>
          <w:lang w:val="en-US" w:eastAsia="zh-CN" w:bidi="ar"/>
        </w:rPr>
        <w:t>3、</w:t>
      </w:r>
      <w:r>
        <w:rPr>
          <w:rFonts w:hint="eastAsia" w:asciiTheme="minorEastAsia" w:hAnsiTheme="minorEastAsia" w:eastAsiaTheme="minorEastAsia" w:cstheme="minorEastAsia"/>
          <w:b/>
          <w:bCs/>
          <w:i w:val="0"/>
          <w:color w:val="auto"/>
          <w:kern w:val="0"/>
          <w:sz w:val="28"/>
          <w:szCs w:val="28"/>
          <w:lang w:val="en-US" w:eastAsia="zh-CN" w:bidi="ar"/>
        </w:rPr>
        <w:t>产出时效</w:t>
      </w:r>
      <w:r>
        <w:rPr>
          <w:rFonts w:hint="eastAsia" w:asciiTheme="minorEastAsia" w:hAnsiTheme="minorEastAsia" w:eastAsiaTheme="minorEastAsia" w:cstheme="minorEastAsia"/>
          <w:b/>
          <w:bCs/>
          <w:i w:val="0"/>
          <w:color w:val="333333"/>
          <w:kern w:val="0"/>
          <w:sz w:val="28"/>
          <w:szCs w:val="28"/>
          <w:lang w:val="en-US" w:eastAsia="zh-CN" w:bidi="ar"/>
        </w:rPr>
        <w:t>：</w:t>
      </w:r>
      <w:r>
        <w:rPr>
          <w:rFonts w:hint="eastAsia" w:asciiTheme="minorEastAsia" w:hAnsiTheme="minorEastAsia" w:eastAsiaTheme="minorEastAsia" w:cstheme="minorEastAsia"/>
          <w:i w:val="0"/>
          <w:color w:val="auto"/>
          <w:kern w:val="0"/>
          <w:sz w:val="28"/>
          <w:szCs w:val="28"/>
          <w:highlight w:val="none"/>
          <w:lang w:val="en-US" w:eastAsia="zh-CN" w:bidi="ar"/>
        </w:rPr>
        <w:t>绩效项目按计划时间实施、完成。</w:t>
      </w:r>
    </w:p>
    <w:p>
      <w:pPr>
        <w:ind w:firstLine="562" w:firstLineChars="200"/>
        <w:jc w:val="left"/>
        <w:rPr>
          <w:rFonts w:hint="eastAsia" w:asciiTheme="minorEastAsia" w:hAnsiTheme="minorEastAsia" w:eastAsiaTheme="minorEastAsia" w:cstheme="minorEastAsia"/>
          <w:i w:val="0"/>
          <w:color w:val="auto"/>
          <w:kern w:val="0"/>
          <w:sz w:val="28"/>
          <w:szCs w:val="28"/>
          <w:highlight w:val="yellow"/>
          <w:lang w:val="en-US" w:eastAsia="zh-CN" w:bidi="ar"/>
        </w:rPr>
      </w:pPr>
      <w:r>
        <w:rPr>
          <w:rFonts w:hint="eastAsia" w:asciiTheme="minorEastAsia" w:hAnsiTheme="minorEastAsia" w:eastAsiaTheme="minorEastAsia" w:cstheme="minorEastAsia"/>
          <w:b/>
          <w:bCs/>
          <w:i w:val="0"/>
          <w:color w:val="auto"/>
          <w:kern w:val="0"/>
          <w:sz w:val="28"/>
          <w:szCs w:val="28"/>
          <w:lang w:val="en-US" w:eastAsia="zh-CN" w:bidi="ar"/>
        </w:rPr>
        <w:t>4、成本控制</w:t>
      </w:r>
      <w:r>
        <w:rPr>
          <w:rFonts w:hint="eastAsia" w:asciiTheme="minorEastAsia" w:hAnsiTheme="minorEastAsia" w:eastAsiaTheme="minorEastAsia" w:cstheme="minorEastAsia"/>
          <w:i w:val="0"/>
          <w:color w:val="auto"/>
          <w:kern w:val="0"/>
          <w:sz w:val="28"/>
          <w:szCs w:val="28"/>
          <w:lang w:val="en-US" w:eastAsia="zh-CN" w:bidi="ar"/>
        </w:rPr>
        <w:t>：</w:t>
      </w:r>
      <w:r>
        <w:rPr>
          <w:rFonts w:hint="eastAsia" w:ascii="宋体" w:hAnsi="宋体" w:eastAsia="宋体" w:cs="宋体"/>
          <w:b w:val="0"/>
          <w:bCs w:val="0"/>
          <w:sz w:val="28"/>
          <w:szCs w:val="28"/>
          <w:highlight w:val="none"/>
          <w:lang w:val="en-US" w:eastAsia="zh-CN"/>
        </w:rPr>
        <w:t>本项目未申报预算，也无资金分配方案，项目收入1014.79万元，</w:t>
      </w:r>
      <w:r>
        <w:rPr>
          <w:rFonts w:hint="eastAsia" w:ascii="宋体" w:hAnsi="宋体" w:eastAsia="宋体" w:cs="宋体"/>
          <w:b w:val="0"/>
          <w:bCs w:val="0"/>
          <w:sz w:val="28"/>
          <w:szCs w:val="28"/>
          <w:highlight w:val="none"/>
        </w:rPr>
        <w:t>实际</w:t>
      </w:r>
      <w:r>
        <w:rPr>
          <w:rFonts w:hint="eastAsia" w:ascii="宋体" w:hAnsi="宋体" w:eastAsia="宋体" w:cs="宋体"/>
          <w:b w:val="0"/>
          <w:bCs w:val="0"/>
          <w:sz w:val="28"/>
          <w:szCs w:val="28"/>
          <w:highlight w:val="none"/>
          <w:lang w:eastAsia="zh-CN"/>
        </w:rPr>
        <w:t>共支出</w:t>
      </w:r>
      <w:r>
        <w:rPr>
          <w:rFonts w:hint="eastAsia" w:ascii="宋体" w:hAnsi="宋体" w:eastAsia="宋体" w:cs="宋体"/>
          <w:b w:val="0"/>
          <w:bCs w:val="0"/>
          <w:sz w:val="28"/>
          <w:szCs w:val="28"/>
          <w:highlight w:val="none"/>
          <w:lang w:val="en-US" w:eastAsia="zh-CN"/>
        </w:rPr>
        <w:t>975.12万</w:t>
      </w:r>
      <w:r>
        <w:rPr>
          <w:rFonts w:hint="eastAsia" w:ascii="宋体" w:hAnsi="宋体" w:eastAsia="宋体" w:cs="宋体"/>
          <w:b w:val="0"/>
          <w:bCs w:val="0"/>
          <w:sz w:val="28"/>
          <w:szCs w:val="28"/>
          <w:highlight w:val="none"/>
        </w:rPr>
        <w:t>元，</w:t>
      </w:r>
      <w:r>
        <w:rPr>
          <w:rFonts w:hint="eastAsia" w:ascii="宋体" w:hAnsi="宋体" w:eastAsia="宋体" w:cs="宋体"/>
          <w:b w:val="0"/>
          <w:bCs w:val="0"/>
          <w:sz w:val="28"/>
          <w:szCs w:val="28"/>
          <w:highlight w:val="none"/>
          <w:lang w:eastAsia="zh-CN"/>
        </w:rPr>
        <w:t>当年</w:t>
      </w:r>
      <w:r>
        <w:rPr>
          <w:rFonts w:hint="eastAsia" w:ascii="宋体" w:hAnsi="宋体" w:eastAsia="宋体" w:cs="宋体"/>
          <w:b w:val="0"/>
          <w:bCs w:val="0"/>
          <w:sz w:val="28"/>
          <w:szCs w:val="28"/>
          <w:highlight w:val="none"/>
          <w:lang w:val="en-US" w:eastAsia="zh-CN"/>
        </w:rPr>
        <w:t>结余39.67万元，</w:t>
      </w:r>
      <w:r>
        <w:rPr>
          <w:rFonts w:hint="eastAsia" w:ascii="宋体" w:hAnsi="宋体" w:cs="宋体"/>
          <w:b w:val="0"/>
          <w:bCs w:val="0"/>
          <w:sz w:val="28"/>
          <w:szCs w:val="28"/>
          <w:highlight w:val="none"/>
          <w:lang w:val="en-US" w:eastAsia="zh-CN"/>
        </w:rPr>
        <w:t>账面收入与支出</w:t>
      </w:r>
      <w:r>
        <w:rPr>
          <w:rFonts w:hint="eastAsia" w:ascii="宋体" w:hAnsi="宋体" w:eastAsia="宋体" w:cs="宋体"/>
          <w:b w:val="0"/>
          <w:bCs w:val="0"/>
          <w:sz w:val="28"/>
          <w:szCs w:val="28"/>
          <w:highlight w:val="none"/>
          <w:lang w:val="en-US" w:eastAsia="zh-CN"/>
        </w:rPr>
        <w:t>未超成本，成本控制较好。</w:t>
      </w:r>
    </w:p>
    <w:p>
      <w:pPr>
        <w:numPr>
          <w:ilvl w:val="0"/>
          <w:numId w:val="0"/>
        </w:numPr>
        <w:ind w:firstLine="562" w:firstLineChars="200"/>
        <w:jc w:val="left"/>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b/>
          <w:bCs/>
          <w:sz w:val="28"/>
          <w:szCs w:val="28"/>
          <w:lang w:val="en-US" w:eastAsia="zh-CN"/>
        </w:rPr>
        <w:t>5、</w:t>
      </w:r>
      <w:r>
        <w:rPr>
          <w:rFonts w:hint="eastAsia" w:asciiTheme="minorEastAsia" w:hAnsiTheme="minorEastAsia" w:eastAsiaTheme="minorEastAsia" w:cstheme="minorEastAsia"/>
          <w:b/>
          <w:bCs/>
          <w:sz w:val="28"/>
          <w:szCs w:val="28"/>
        </w:rPr>
        <w:t>项目公开、公正性。</w:t>
      </w:r>
      <w:r>
        <w:rPr>
          <w:rFonts w:hint="eastAsia" w:asciiTheme="minorEastAsia" w:hAnsiTheme="minorEastAsia" w:eastAsiaTheme="minorEastAsia" w:cstheme="minorEastAsia"/>
          <w:color w:val="000000"/>
          <w:sz w:val="28"/>
          <w:szCs w:val="28"/>
        </w:rPr>
        <w:t>规范审批程序，公示审批流程，确保了项目</w:t>
      </w:r>
      <w:r>
        <w:rPr>
          <w:rFonts w:hint="eastAsia" w:asciiTheme="minorEastAsia" w:hAnsiTheme="minorEastAsia" w:eastAsiaTheme="minorEastAsia" w:cstheme="minorEastAsia"/>
          <w:color w:val="000000"/>
          <w:sz w:val="28"/>
          <w:szCs w:val="28"/>
          <w:lang w:val="en-US" w:eastAsia="zh-CN"/>
        </w:rPr>
        <w:t>资金发放</w:t>
      </w:r>
      <w:r>
        <w:rPr>
          <w:rFonts w:hint="eastAsia" w:asciiTheme="minorEastAsia" w:hAnsiTheme="minorEastAsia" w:eastAsiaTheme="minorEastAsia" w:cstheme="minorEastAsia"/>
          <w:color w:val="000000"/>
          <w:sz w:val="28"/>
          <w:szCs w:val="28"/>
        </w:rPr>
        <w:t>的快速、高效、公开、透明。</w:t>
      </w:r>
    </w:p>
    <w:p>
      <w:pPr>
        <w:numPr>
          <w:ilvl w:val="0"/>
          <w:numId w:val="0"/>
        </w:numPr>
        <w:ind w:firstLine="562" w:firstLineChars="200"/>
        <w:jc w:val="left"/>
        <w:rPr>
          <w:rFonts w:hint="eastAsia" w:asciiTheme="minorEastAsia" w:hAnsiTheme="minorEastAsia" w:eastAsiaTheme="minorEastAsia" w:cstheme="minorEastAsia"/>
          <w:b/>
          <w:bCs/>
          <w:kern w:val="0"/>
          <w:sz w:val="28"/>
          <w:szCs w:val="28"/>
        </w:rPr>
      </w:pPr>
      <w:r>
        <w:rPr>
          <w:rFonts w:hint="eastAsia" w:asciiTheme="minorEastAsia" w:hAnsiTheme="minorEastAsia" w:eastAsiaTheme="minorEastAsia" w:cstheme="minorEastAsia"/>
          <w:b/>
          <w:bCs/>
          <w:kern w:val="0"/>
          <w:sz w:val="28"/>
          <w:szCs w:val="28"/>
          <w:lang w:val="en-US" w:eastAsia="zh-CN"/>
        </w:rPr>
        <w:t>6、</w:t>
      </w:r>
      <w:r>
        <w:rPr>
          <w:rFonts w:hint="eastAsia" w:asciiTheme="minorEastAsia" w:hAnsiTheme="minorEastAsia" w:eastAsiaTheme="minorEastAsia" w:cstheme="minorEastAsia"/>
          <w:b/>
          <w:bCs/>
          <w:kern w:val="0"/>
          <w:sz w:val="28"/>
          <w:szCs w:val="28"/>
        </w:rPr>
        <w:t>项目完成后效果</w:t>
      </w:r>
    </w:p>
    <w:p>
      <w:pPr>
        <w:numPr>
          <w:ilvl w:val="0"/>
          <w:numId w:val="0"/>
        </w:numPr>
        <w:ind w:firstLine="560" w:firstLineChars="200"/>
        <w:jc w:val="left"/>
        <w:rPr>
          <w:rFonts w:hint="eastAsia" w:asciiTheme="minorEastAsia" w:hAnsiTheme="minorEastAsia" w:eastAsiaTheme="minorEastAsia" w:cstheme="minorEastAsia"/>
          <w:color w:val="000000"/>
          <w:sz w:val="28"/>
          <w:szCs w:val="28"/>
          <w:lang w:val="en-US" w:eastAsia="zh-CN"/>
        </w:rPr>
      </w:pPr>
      <w:r>
        <w:rPr>
          <w:rFonts w:hint="eastAsia" w:asciiTheme="minorEastAsia" w:hAnsiTheme="minorEastAsia" w:eastAsiaTheme="minorEastAsia" w:cstheme="minorEastAsia"/>
          <w:color w:val="000000"/>
          <w:sz w:val="28"/>
          <w:szCs w:val="28"/>
          <w:lang w:val="en-US" w:eastAsia="zh-CN"/>
        </w:rPr>
        <w:t>（1）搭建就业供需平台，就业渠道得到进一步拓展。</w:t>
      </w:r>
    </w:p>
    <w:p>
      <w:pPr>
        <w:numPr>
          <w:ilvl w:val="0"/>
          <w:numId w:val="0"/>
        </w:numPr>
        <w:ind w:firstLine="560" w:firstLineChars="200"/>
        <w:jc w:val="left"/>
        <w:rPr>
          <w:rFonts w:hint="eastAsia" w:asciiTheme="minorEastAsia" w:hAnsiTheme="minorEastAsia" w:eastAsiaTheme="minorEastAsia" w:cstheme="minorEastAsia"/>
          <w:color w:val="000000"/>
          <w:sz w:val="28"/>
          <w:szCs w:val="28"/>
          <w:lang w:val="en-US" w:eastAsia="zh-CN"/>
        </w:rPr>
      </w:pPr>
      <w:r>
        <w:rPr>
          <w:rFonts w:hint="eastAsia" w:asciiTheme="minorEastAsia" w:hAnsiTheme="minorEastAsia" w:eastAsiaTheme="minorEastAsia" w:cstheme="minorEastAsia"/>
          <w:color w:val="000000"/>
          <w:sz w:val="28"/>
          <w:szCs w:val="28"/>
          <w:lang w:val="en-US" w:eastAsia="zh-CN"/>
        </w:rPr>
        <w:t>就业服务中心通过“线上+线下”招聘方式，指导用工企业在“湘就业”公众号发布岗位信息200多个，先后举办了“春风行动”、“就业援助月”等6场招聘会，现场发放宣传资料3400多份，累计共有105家企业提供岗位4800多个，收受求职简历598份，现场达成意向录用人数341人。每月定期在省公共就业服务信息平台对全区就业状态进行监测，通过数据比对对全区状态进行分析，及时掌握全区就业状态和就业需求，为提供精准、优效的“311”就业服务打好了坚实基础。</w:t>
      </w:r>
    </w:p>
    <w:p>
      <w:pPr>
        <w:pStyle w:val="2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560" w:firstLineChars="200"/>
        <w:jc w:val="both"/>
        <w:rPr>
          <w:rFonts w:hint="eastAsia" w:asciiTheme="minorEastAsia" w:hAnsiTheme="minorEastAsia" w:eastAsiaTheme="minorEastAsia" w:cstheme="minorEastAsia"/>
          <w:color w:val="000000"/>
          <w:kern w:val="2"/>
          <w:sz w:val="28"/>
          <w:szCs w:val="28"/>
          <w:lang w:val="en-US" w:eastAsia="zh-CN" w:bidi="ar-SA"/>
        </w:rPr>
      </w:pPr>
      <w:r>
        <w:rPr>
          <w:rFonts w:hint="eastAsia" w:asciiTheme="minorEastAsia" w:hAnsiTheme="minorEastAsia" w:eastAsiaTheme="minorEastAsia" w:cstheme="minorEastAsia"/>
          <w:color w:val="000000"/>
          <w:kern w:val="2"/>
          <w:sz w:val="28"/>
          <w:szCs w:val="28"/>
          <w:lang w:val="en-US" w:eastAsia="zh-CN" w:bidi="ar-SA"/>
        </w:rPr>
        <w:t>（2）优创业培训效果。</w:t>
      </w:r>
    </w:p>
    <w:p>
      <w:pPr>
        <w:ind w:firstLine="560" w:firstLineChars="200"/>
        <w:rPr>
          <w:rFonts w:hint="eastAsia" w:asciiTheme="minorEastAsia" w:hAnsiTheme="minorEastAsia" w:eastAsiaTheme="minorEastAsia" w:cstheme="minorEastAsia"/>
          <w:kern w:val="2"/>
          <w:sz w:val="28"/>
          <w:szCs w:val="28"/>
          <w:highlight w:val="none"/>
          <w:lang w:val="en-US" w:eastAsia="zh-CN" w:bidi="ar-SA"/>
        </w:rPr>
      </w:pPr>
      <w:r>
        <w:rPr>
          <w:rFonts w:hint="eastAsia" w:asciiTheme="minorEastAsia" w:hAnsiTheme="minorEastAsia" w:eastAsiaTheme="minorEastAsia" w:cstheme="minorEastAsia"/>
          <w:kern w:val="2"/>
          <w:sz w:val="28"/>
          <w:szCs w:val="28"/>
          <w:highlight w:val="none"/>
          <w:lang w:val="en-US" w:eastAsia="zh-CN" w:bidi="ar-SA"/>
        </w:rPr>
        <w:t>就业服务中心以提升创业培训质量为抓手，加强创业培训过程监督，与时俱进开设“创业+直播”等特色培训班，提升学员的创业技能，2022年累计举办了9期创业培训班，培训274人次。将创业培训与充分就业社区建设相结合，充分利用公共就业服务平台优势，广泛征求劳动者培训需求，提供“菜单式”培训，既为劳动者提供了心仪的培训，又为充分就业社区建设夯实了基础，被市城社科在全市得以推广，为充分就业社区建设贡献了可复制的云溪经验。</w:t>
      </w:r>
    </w:p>
    <w:p>
      <w:pPr>
        <w:ind w:firstLine="560" w:firstLineChars="200"/>
        <w:rPr>
          <w:rFonts w:hint="eastAsia" w:asciiTheme="minorEastAsia" w:hAnsiTheme="minorEastAsia" w:eastAsiaTheme="minorEastAsia" w:cstheme="minorEastAsia"/>
          <w:kern w:val="2"/>
          <w:sz w:val="28"/>
          <w:szCs w:val="28"/>
          <w:highlight w:val="none"/>
          <w:lang w:val="en-US" w:eastAsia="zh-CN" w:bidi="ar-SA"/>
        </w:rPr>
      </w:pPr>
      <w:r>
        <w:rPr>
          <w:rFonts w:hint="eastAsia" w:asciiTheme="minorEastAsia" w:hAnsiTheme="minorEastAsia" w:eastAsiaTheme="minorEastAsia" w:cstheme="minorEastAsia"/>
          <w:kern w:val="2"/>
          <w:sz w:val="28"/>
          <w:szCs w:val="28"/>
          <w:highlight w:val="none"/>
          <w:lang w:val="en-US" w:eastAsia="zh-CN" w:bidi="ar-SA"/>
        </w:rPr>
        <w:t>（3）促进创业带动就业。云溪区就业服务中心为帮助自主创业者和小微企业扩大融资渠道，将创业贷款审批权下放到镇（街道），优化创业贷款审批流程，2022年，为54个创业主体和3家小微企业发放创业贷款1440万元，成功建设1家区级孵化基地。湖南岳阳绿色化工高新技术产业区科技创业服务中心成功申报区级孵化基地，目前已有70家创业实体和创业项目入住该孵化基地，促进以创业带动就业。</w:t>
      </w:r>
    </w:p>
    <w:p>
      <w:pPr>
        <w:ind w:firstLine="560" w:firstLineChars="200"/>
        <w:rPr>
          <w:rFonts w:hint="default" w:asciiTheme="minorEastAsia" w:hAnsiTheme="minorEastAsia" w:eastAsiaTheme="minorEastAsia" w:cstheme="minorEastAsia"/>
          <w:kern w:val="2"/>
          <w:sz w:val="28"/>
          <w:szCs w:val="28"/>
          <w:highlight w:val="none"/>
          <w:lang w:val="en-US" w:eastAsia="zh-CN" w:bidi="ar-SA"/>
        </w:rPr>
      </w:pPr>
      <w:r>
        <w:rPr>
          <w:rFonts w:hint="eastAsia" w:asciiTheme="minorEastAsia" w:hAnsiTheme="minorEastAsia" w:eastAsiaTheme="minorEastAsia" w:cstheme="minorEastAsia"/>
          <w:kern w:val="2"/>
          <w:sz w:val="28"/>
          <w:szCs w:val="28"/>
          <w:highlight w:val="none"/>
          <w:lang w:val="en-US" w:eastAsia="zh-CN" w:bidi="ar-SA"/>
        </w:rPr>
        <w:t>（4）保障脱贫人口就业。就业服务中心开展脱贫劳动力信息核实。按照要求，先后4次组织5个镇（街道）对云溪区2012名脱贫劳动力信息进行了核实，通过组织招聘录用一批、技能培训促进一批、帮扶车间吸纳一批、劳务协作输出一批、公益性岗位安置一批等多途径，帮组脱贫劳动力就业，增加收入。目前，云溪区脱贫劳动力总数为2012人，已就业人数1778人，就业率为88.37%。</w:t>
      </w:r>
    </w:p>
    <w:p>
      <w:pPr>
        <w:pStyle w:val="2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560" w:firstLineChars="200"/>
        <w:jc w:val="both"/>
        <w:rPr>
          <w:rFonts w:hint="eastAsia" w:asciiTheme="minorEastAsia" w:hAnsiTheme="minorEastAsia" w:eastAsiaTheme="minorEastAsia" w:cstheme="minorEastAsia"/>
          <w:color w:val="000000"/>
          <w:kern w:val="2"/>
          <w:sz w:val="28"/>
          <w:szCs w:val="28"/>
          <w:lang w:val="en-US" w:eastAsia="zh-CN" w:bidi="ar-SA"/>
        </w:rPr>
      </w:pPr>
      <w:r>
        <w:rPr>
          <w:rFonts w:hint="eastAsia" w:asciiTheme="minorEastAsia" w:hAnsiTheme="minorEastAsia" w:eastAsiaTheme="minorEastAsia" w:cstheme="minorEastAsia"/>
          <w:color w:val="000000"/>
          <w:kern w:val="2"/>
          <w:sz w:val="28"/>
          <w:szCs w:val="28"/>
          <w:lang w:val="en-US" w:eastAsia="zh-CN" w:bidi="ar-SA"/>
        </w:rPr>
        <w:t>（5）经济效益指标。</w:t>
      </w:r>
    </w:p>
    <w:p>
      <w:pPr>
        <w:pStyle w:val="2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560" w:firstLineChars="200"/>
        <w:jc w:val="both"/>
        <w:rPr>
          <w:rFonts w:hint="default" w:asciiTheme="minorEastAsia" w:hAnsiTheme="minorEastAsia" w:eastAsiaTheme="minorEastAsia" w:cstheme="minorEastAsia"/>
          <w:color w:val="000000"/>
          <w:kern w:val="2"/>
          <w:sz w:val="28"/>
          <w:szCs w:val="28"/>
          <w:lang w:val="en-US" w:eastAsia="zh-CN" w:bidi="ar-SA"/>
        </w:rPr>
      </w:pPr>
      <w:r>
        <w:rPr>
          <w:rFonts w:hint="eastAsia" w:asciiTheme="minorEastAsia" w:hAnsiTheme="minorEastAsia" w:eastAsiaTheme="minorEastAsia" w:cstheme="minorEastAsia"/>
          <w:kern w:val="2"/>
          <w:sz w:val="28"/>
          <w:szCs w:val="28"/>
          <w:highlight w:val="none"/>
          <w:lang w:val="en-US" w:eastAsia="zh-CN" w:bidi="ar-SA"/>
        </w:rPr>
        <w:t>截至12月份，完成新增城镇就业2613人，失业人员再就业702人，困难人员再就业 203人，完成农村劳动转移就业1021人。享受社会保险补贴23人，享受公益性岗位补贴389人，18期职业技能培训班共培训889人。</w:t>
      </w:r>
      <w:r>
        <w:rPr>
          <w:rFonts w:hint="eastAsia" w:asciiTheme="minorEastAsia" w:hAnsiTheme="minorEastAsia" w:eastAsiaTheme="minorEastAsia" w:cstheme="minorEastAsia"/>
          <w:color w:val="000000"/>
          <w:kern w:val="2"/>
          <w:sz w:val="28"/>
          <w:szCs w:val="28"/>
          <w:lang w:val="en-US" w:eastAsia="zh-CN" w:bidi="ar-SA"/>
        </w:rPr>
        <w:t>就业补助资金项目的实施，有效降低了企业用工成本和高校毕业生、下岗失业人员、农村转移劳动力等就业困难群体求职创业成本，产生了较好的经济效益。</w:t>
      </w:r>
    </w:p>
    <w:p>
      <w:pPr>
        <w:pStyle w:val="2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602"/>
        <w:jc w:val="both"/>
        <w:rPr>
          <w:rFonts w:hint="eastAsia" w:asciiTheme="minorEastAsia" w:hAnsiTheme="minorEastAsia" w:eastAsiaTheme="minorEastAsia" w:cstheme="minorEastAsia"/>
          <w:color w:val="000000"/>
          <w:kern w:val="2"/>
          <w:sz w:val="28"/>
          <w:szCs w:val="28"/>
          <w:lang w:val="en-US" w:eastAsia="zh-CN" w:bidi="ar-SA"/>
        </w:rPr>
      </w:pPr>
      <w:r>
        <w:rPr>
          <w:rFonts w:hint="eastAsia" w:asciiTheme="minorEastAsia" w:hAnsiTheme="minorEastAsia" w:eastAsiaTheme="minorEastAsia" w:cstheme="minorEastAsia"/>
          <w:color w:val="000000"/>
          <w:kern w:val="2"/>
          <w:sz w:val="28"/>
          <w:szCs w:val="28"/>
          <w:lang w:val="en-US" w:eastAsia="zh-CN" w:bidi="ar-SA"/>
        </w:rPr>
        <w:t>（6）社会效益指标。就业补助资金项目的实施，提高了劳动者职业技能和就业能力，保障了就业困难群体的基本权益，为全面落实积极的就业创业政策提供了坚实的制度和资金保障，有力促进了经济发展和社会稳定，社会效益显著。因就业问题发生重大群体性事件数量为0。</w:t>
      </w:r>
    </w:p>
    <w:p>
      <w:pPr>
        <w:pStyle w:val="2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560" w:firstLineChars="200"/>
        <w:jc w:val="both"/>
        <w:rPr>
          <w:rFonts w:hint="eastAsia" w:asciiTheme="minorEastAsia" w:hAnsiTheme="minorEastAsia" w:eastAsiaTheme="minorEastAsia" w:cstheme="minorEastAsia"/>
          <w:color w:val="000000"/>
          <w:kern w:val="2"/>
          <w:sz w:val="28"/>
          <w:szCs w:val="28"/>
          <w:lang w:val="en-US" w:eastAsia="zh-CN" w:bidi="ar-SA"/>
        </w:rPr>
      </w:pPr>
      <w:r>
        <w:rPr>
          <w:rFonts w:hint="eastAsia" w:asciiTheme="minorEastAsia" w:hAnsiTheme="minorEastAsia" w:eastAsiaTheme="minorEastAsia" w:cstheme="minorEastAsia"/>
          <w:color w:val="000000"/>
          <w:kern w:val="2"/>
          <w:sz w:val="28"/>
          <w:szCs w:val="28"/>
          <w:lang w:val="en-US" w:eastAsia="zh-CN" w:bidi="ar-SA"/>
        </w:rPr>
        <w:t>（7）可持续影响。社会保险补贴、公益性岗位补贴、社区民生志愿者等政策对新增就业、失业人员再就业、就业困难人员就业具有长期影响，在稳定和扩大就业规模中发挥了积极作用。</w:t>
      </w:r>
    </w:p>
    <w:p>
      <w:pPr>
        <w:pStyle w:val="2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562" w:firstLineChars="200"/>
        <w:jc w:val="both"/>
        <w:rPr>
          <w:rFonts w:hint="eastAsia" w:asciiTheme="minorEastAsia" w:hAnsiTheme="minorEastAsia" w:eastAsiaTheme="minorEastAsia" w:cstheme="minorEastAsia"/>
          <w:b/>
          <w:bCs/>
          <w:color w:val="000000"/>
          <w:kern w:val="2"/>
          <w:sz w:val="28"/>
          <w:szCs w:val="28"/>
          <w:lang w:val="en-US" w:eastAsia="zh-CN" w:bidi="ar-SA"/>
        </w:rPr>
      </w:pPr>
      <w:r>
        <w:rPr>
          <w:rFonts w:hint="eastAsia" w:asciiTheme="minorEastAsia" w:hAnsiTheme="minorEastAsia" w:eastAsiaTheme="minorEastAsia" w:cstheme="minorEastAsia"/>
          <w:b/>
          <w:bCs/>
          <w:color w:val="000000"/>
          <w:kern w:val="2"/>
          <w:sz w:val="28"/>
          <w:szCs w:val="28"/>
          <w:lang w:val="en-US" w:eastAsia="zh-CN" w:bidi="ar-SA"/>
        </w:rPr>
        <w:t>（五）项目绩效评价结论</w:t>
      </w:r>
    </w:p>
    <w:p>
      <w:pPr>
        <w:pStyle w:val="2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560" w:firstLineChars="200"/>
        <w:jc w:val="both"/>
        <w:rPr>
          <w:rFonts w:hint="eastAsia" w:asciiTheme="minorEastAsia" w:hAnsiTheme="minorEastAsia" w:eastAsiaTheme="minorEastAsia" w:cstheme="minorEastAsia"/>
          <w:b w:val="0"/>
          <w:bCs w:val="0"/>
          <w:color w:val="000000"/>
          <w:kern w:val="2"/>
          <w:sz w:val="28"/>
          <w:szCs w:val="28"/>
          <w:highlight w:val="yellow"/>
          <w:lang w:val="en-US" w:eastAsia="zh-CN" w:bidi="ar-SA"/>
        </w:rPr>
      </w:pPr>
      <w:r>
        <w:rPr>
          <w:rFonts w:hint="eastAsia" w:asciiTheme="minorEastAsia" w:hAnsiTheme="minorEastAsia" w:eastAsiaTheme="minorEastAsia" w:cstheme="minorEastAsia"/>
          <w:color w:val="000000"/>
          <w:kern w:val="2"/>
          <w:sz w:val="28"/>
          <w:szCs w:val="28"/>
          <w:lang w:val="en-US" w:eastAsia="zh-CN" w:bidi="ar-SA"/>
        </w:rPr>
        <w:t>根据绩效考核评分细则，绩效评价小组认为：2022年度就业补助资金基本做到管理制度齐全，资金使用</w:t>
      </w:r>
      <w:r>
        <w:rPr>
          <w:rFonts w:hint="eastAsia" w:asciiTheme="minorEastAsia" w:hAnsiTheme="minorEastAsia" w:eastAsiaTheme="minorEastAsia" w:cstheme="minorEastAsia"/>
          <w:b w:val="0"/>
          <w:bCs w:val="0"/>
          <w:color w:val="000000"/>
          <w:kern w:val="2"/>
          <w:sz w:val="28"/>
          <w:szCs w:val="28"/>
          <w:highlight w:val="none"/>
          <w:lang w:val="en-US" w:eastAsia="zh-CN" w:bidi="ar-SA"/>
        </w:rPr>
        <w:t>较合规。较好完成了2022年目标任务。但由于多种原因的影响，存在项目未按照要求进行绩效申报、补贴发放不符合标准等现象。通过对项目进行绩效评价，得分93分，项目完成任务“优”。其中：</w:t>
      </w:r>
    </w:p>
    <w:p>
      <w:pPr>
        <w:ind w:firstLine="560" w:firstLineChars="200"/>
        <w:rPr>
          <w:rFonts w:hint="eastAsia" w:asciiTheme="minorEastAsia" w:hAnsiTheme="minorEastAsia" w:eastAsiaTheme="minorEastAsia" w:cstheme="minorEastAsia"/>
          <w:sz w:val="28"/>
          <w:szCs w:val="28"/>
          <w:highlight w:val="none"/>
          <w:lang w:val="en-US" w:eastAsia="zh-CN"/>
        </w:rPr>
      </w:pPr>
      <w:r>
        <w:rPr>
          <w:rFonts w:hint="eastAsia" w:asciiTheme="minorEastAsia" w:hAnsiTheme="minorEastAsia" w:eastAsiaTheme="minorEastAsia" w:cstheme="minorEastAsia"/>
          <w:sz w:val="28"/>
          <w:szCs w:val="28"/>
          <w:highlight w:val="none"/>
          <w:lang w:val="en-US" w:eastAsia="zh-CN"/>
        </w:rPr>
        <w:t>目标决策总分20分，该项目得分16分，扣4分。</w:t>
      </w:r>
    </w:p>
    <w:p>
      <w:pPr>
        <w:ind w:firstLine="560" w:firstLineChars="200"/>
        <w:rPr>
          <w:rFonts w:hint="eastAsia" w:asciiTheme="minorEastAsia" w:hAnsiTheme="minorEastAsia" w:eastAsiaTheme="minorEastAsia" w:cstheme="minorEastAsia"/>
          <w:sz w:val="28"/>
          <w:szCs w:val="28"/>
          <w:highlight w:val="none"/>
          <w:lang w:val="en-US" w:eastAsia="zh-CN"/>
        </w:rPr>
      </w:pPr>
      <w:r>
        <w:rPr>
          <w:rFonts w:hint="eastAsia" w:asciiTheme="minorEastAsia" w:hAnsiTheme="minorEastAsia" w:eastAsiaTheme="minorEastAsia" w:cstheme="minorEastAsia"/>
          <w:sz w:val="28"/>
          <w:szCs w:val="28"/>
          <w:highlight w:val="none"/>
          <w:lang w:val="en-US" w:eastAsia="zh-CN"/>
        </w:rPr>
        <w:t>项目管理总分25分，该项目得分22分，扣3分。</w:t>
      </w:r>
    </w:p>
    <w:p>
      <w:pPr>
        <w:ind w:firstLine="560" w:firstLineChars="200"/>
        <w:rPr>
          <w:rFonts w:hint="eastAsia" w:asciiTheme="minorEastAsia" w:hAnsiTheme="minorEastAsia" w:eastAsiaTheme="minorEastAsia" w:cstheme="minorEastAsia"/>
          <w:sz w:val="28"/>
          <w:szCs w:val="28"/>
          <w:highlight w:val="none"/>
          <w:lang w:val="en-US" w:eastAsia="zh-CN"/>
        </w:rPr>
      </w:pPr>
      <w:r>
        <w:rPr>
          <w:rFonts w:hint="eastAsia" w:asciiTheme="minorEastAsia" w:hAnsiTheme="minorEastAsia" w:eastAsiaTheme="minorEastAsia" w:cstheme="minorEastAsia"/>
          <w:sz w:val="28"/>
          <w:szCs w:val="28"/>
          <w:highlight w:val="none"/>
          <w:lang w:val="en-US" w:eastAsia="zh-CN"/>
        </w:rPr>
        <w:t>项目绩效总分55分，该项目得分55分，未扣分。</w:t>
      </w:r>
    </w:p>
    <w:p>
      <w:pPr>
        <w:ind w:firstLine="560" w:firstLineChars="200"/>
        <w:rPr>
          <w:rFonts w:hint="eastAsia" w:asciiTheme="minorEastAsia" w:hAnsiTheme="minorEastAsia" w:eastAsiaTheme="minorEastAsia" w:cstheme="minorEastAsia"/>
          <w:sz w:val="28"/>
          <w:szCs w:val="28"/>
          <w:highlight w:val="none"/>
          <w:lang w:val="en-US" w:eastAsia="zh-CN"/>
        </w:rPr>
      </w:pPr>
      <w:r>
        <w:rPr>
          <w:rFonts w:hint="eastAsia" w:asciiTheme="minorEastAsia" w:hAnsiTheme="minorEastAsia" w:eastAsiaTheme="minorEastAsia" w:cstheme="minorEastAsia"/>
          <w:sz w:val="28"/>
          <w:szCs w:val="28"/>
          <w:highlight w:val="none"/>
          <w:lang w:val="en-US" w:eastAsia="zh-CN"/>
        </w:rPr>
        <w:t>具体见《云溪区就业服务中心2022年度就业补助资金绩效评分表》（附件2）。</w:t>
      </w:r>
    </w:p>
    <w:p>
      <w:pPr>
        <w:ind w:firstLine="562" w:firstLineChars="200"/>
        <w:rPr>
          <w:rFonts w:hint="eastAsia" w:asciiTheme="minorEastAsia" w:hAnsiTheme="minorEastAsia" w:eastAsiaTheme="minorEastAsia" w:cstheme="minorEastAsia"/>
          <w:b/>
          <w:bCs/>
          <w:sz w:val="28"/>
          <w:szCs w:val="28"/>
          <w:highlight w:val="none"/>
          <w:lang w:val="en-US" w:eastAsia="zh-CN"/>
        </w:rPr>
      </w:pPr>
      <w:r>
        <w:rPr>
          <w:rFonts w:hint="eastAsia" w:asciiTheme="minorEastAsia" w:hAnsiTheme="minorEastAsia" w:eastAsiaTheme="minorEastAsia" w:cstheme="minorEastAsia"/>
          <w:b/>
          <w:bCs/>
          <w:sz w:val="28"/>
          <w:szCs w:val="28"/>
          <w:highlight w:val="none"/>
          <w:lang w:val="en-US" w:eastAsia="zh-CN"/>
        </w:rPr>
        <w:t>三、存在问题及原因分析</w:t>
      </w:r>
    </w:p>
    <w:p>
      <w:pPr>
        <w:ind w:firstLine="562" w:firstLineChars="200"/>
        <w:rPr>
          <w:rFonts w:hint="eastAsia" w:asciiTheme="minorEastAsia" w:hAnsiTheme="minorEastAsia" w:eastAsiaTheme="minorEastAsia" w:cstheme="minorEastAsia"/>
          <w:b/>
          <w:bCs/>
          <w:sz w:val="28"/>
          <w:szCs w:val="28"/>
          <w:highlight w:val="none"/>
          <w:lang w:val="en-US" w:eastAsia="zh-CN"/>
        </w:rPr>
      </w:pPr>
      <w:r>
        <w:rPr>
          <w:rFonts w:hint="eastAsia" w:asciiTheme="minorEastAsia" w:hAnsiTheme="minorEastAsia" w:eastAsiaTheme="minorEastAsia" w:cstheme="minorEastAsia"/>
          <w:b/>
          <w:bCs/>
          <w:sz w:val="28"/>
          <w:szCs w:val="28"/>
          <w:highlight w:val="none"/>
          <w:lang w:val="en-US" w:eastAsia="zh-CN"/>
        </w:rPr>
        <w:t>（一）项目决策方面</w:t>
      </w:r>
    </w:p>
    <w:p>
      <w:pPr>
        <w:ind w:firstLine="562" w:firstLineChars="200"/>
        <w:rPr>
          <w:rFonts w:ascii="宋体" w:hAnsi="宋体" w:cs="宋体"/>
          <w:b/>
          <w:bCs/>
          <w:color w:val="auto"/>
          <w:sz w:val="28"/>
          <w:szCs w:val="28"/>
        </w:rPr>
      </w:pPr>
      <w:r>
        <w:rPr>
          <w:rFonts w:hint="eastAsia" w:ascii="宋体" w:hAnsi="宋体" w:cs="宋体"/>
          <w:b/>
          <w:bCs/>
          <w:sz w:val="28"/>
          <w:szCs w:val="28"/>
        </w:rPr>
        <w:t>1、未进行绩效目标</w:t>
      </w:r>
      <w:r>
        <w:rPr>
          <w:rFonts w:hint="eastAsia" w:ascii="宋体" w:hAnsi="宋体" w:cs="宋体"/>
          <w:b/>
          <w:bCs/>
          <w:color w:val="auto"/>
          <w:sz w:val="28"/>
          <w:szCs w:val="28"/>
        </w:rPr>
        <w:t>申报</w:t>
      </w:r>
      <w:r>
        <w:rPr>
          <w:rFonts w:hint="eastAsia" w:ascii="宋体" w:hAnsi="宋体" w:cs="宋体"/>
          <w:b/>
          <w:bCs/>
          <w:color w:val="auto"/>
          <w:sz w:val="28"/>
          <w:szCs w:val="28"/>
          <w:lang w:val="en-US" w:eastAsia="zh-CN"/>
        </w:rPr>
        <w:t>以及预算申报</w:t>
      </w:r>
      <w:r>
        <w:rPr>
          <w:rFonts w:hint="eastAsia" w:ascii="宋体" w:hAnsi="宋体" w:cs="宋体"/>
          <w:b/>
          <w:bCs/>
          <w:color w:val="auto"/>
          <w:sz w:val="28"/>
          <w:szCs w:val="28"/>
        </w:rPr>
        <w:t>，影响项目的整体绩效评价</w:t>
      </w:r>
    </w:p>
    <w:p>
      <w:pPr>
        <w:ind w:firstLine="560" w:firstLineChars="200"/>
        <w:rPr>
          <w:rFonts w:ascii="宋体" w:hAnsi="宋体" w:cs="宋体"/>
          <w:sz w:val="28"/>
          <w:szCs w:val="28"/>
        </w:rPr>
      </w:pPr>
      <w:r>
        <w:rPr>
          <w:rFonts w:hint="eastAsia" w:ascii="宋体" w:hAnsi="宋体" w:cs="宋体"/>
          <w:color w:val="auto"/>
          <w:sz w:val="28"/>
          <w:szCs w:val="28"/>
        </w:rPr>
        <w:t>项目单位未提供绩效目标申报表</w:t>
      </w:r>
      <w:r>
        <w:rPr>
          <w:rFonts w:hint="eastAsia" w:ascii="宋体" w:hAnsi="宋体" w:cs="宋体"/>
          <w:color w:val="auto"/>
          <w:sz w:val="28"/>
          <w:szCs w:val="28"/>
          <w:lang w:val="en-US" w:eastAsia="zh-CN"/>
        </w:rPr>
        <w:t>以及未进行预算申报</w:t>
      </w:r>
      <w:r>
        <w:rPr>
          <w:rFonts w:hint="eastAsia" w:ascii="宋体" w:hAnsi="宋体" w:cs="宋体"/>
          <w:color w:val="auto"/>
          <w:sz w:val="28"/>
          <w:szCs w:val="28"/>
        </w:rPr>
        <w:t>，导致</w:t>
      </w:r>
      <w:r>
        <w:rPr>
          <w:rFonts w:hint="eastAsia" w:ascii="宋体" w:hAnsi="宋体" w:cs="宋体"/>
          <w:sz w:val="28"/>
          <w:szCs w:val="28"/>
        </w:rPr>
        <w:t>该项目的绩效目标及绩效目标完成情况不明确，评价组只能以自评报告等辅助材料作为项目绩效目标完成情况的替代，影响项目的整体评价质量。</w:t>
      </w:r>
    </w:p>
    <w:p>
      <w:pPr>
        <w:pStyle w:val="34"/>
        <w:ind w:firstLine="600"/>
        <w:rPr>
          <w:rFonts w:ascii="宋体" w:hAnsi="宋体" w:cs="宋体"/>
          <w:kern w:val="44"/>
          <w:sz w:val="28"/>
          <w:szCs w:val="28"/>
        </w:rPr>
      </w:pPr>
      <w:r>
        <w:rPr>
          <w:rFonts w:hint="eastAsia" w:ascii="宋体" w:hAnsi="宋体" w:cs="宋体"/>
          <w:kern w:val="44"/>
          <w:sz w:val="28"/>
          <w:szCs w:val="28"/>
          <w:lang w:eastAsia="zh-CN"/>
        </w:rPr>
        <w:t>评价小组认为</w:t>
      </w:r>
      <w:r>
        <w:rPr>
          <w:rFonts w:hint="eastAsia" w:ascii="宋体" w:hAnsi="宋体" w:cs="宋体"/>
          <w:kern w:val="44"/>
          <w:sz w:val="28"/>
          <w:szCs w:val="28"/>
        </w:rPr>
        <w:t>：项目单位应按照财政部门、主管部门</w:t>
      </w:r>
      <w:r>
        <w:rPr>
          <w:rFonts w:hint="eastAsia" w:ascii="宋体" w:hAnsi="宋体" w:cs="宋体"/>
          <w:kern w:val="44"/>
          <w:sz w:val="28"/>
          <w:szCs w:val="28"/>
          <w:highlight w:val="none"/>
        </w:rPr>
        <w:t>的要求，应及时提供财政支出绩效目标申报表及</w:t>
      </w:r>
      <w:r>
        <w:rPr>
          <w:rFonts w:hint="eastAsia" w:ascii="宋体" w:hAnsi="宋体" w:cs="宋体"/>
          <w:kern w:val="44"/>
          <w:sz w:val="28"/>
          <w:szCs w:val="28"/>
          <w:highlight w:val="none"/>
          <w:lang w:val="en-US" w:eastAsia="zh-CN"/>
        </w:rPr>
        <w:t>预算申报</w:t>
      </w:r>
      <w:r>
        <w:rPr>
          <w:rFonts w:hint="eastAsia" w:ascii="宋体" w:hAnsi="宋体" w:cs="宋体"/>
          <w:kern w:val="44"/>
          <w:sz w:val="28"/>
          <w:szCs w:val="28"/>
          <w:highlight w:val="none"/>
        </w:rPr>
        <w:t>的有关资料。</w:t>
      </w:r>
    </w:p>
    <w:p>
      <w:pPr>
        <w:ind w:left="420" w:leftChars="200" w:firstLine="281" w:firstLineChars="100"/>
        <w:rPr>
          <w:rFonts w:ascii="宋体" w:hAnsi="宋体" w:cs="宋体"/>
          <w:b/>
          <w:bCs/>
          <w:kern w:val="44"/>
          <w:sz w:val="28"/>
          <w:szCs w:val="28"/>
        </w:rPr>
      </w:pPr>
      <w:r>
        <w:rPr>
          <w:rFonts w:hint="eastAsia" w:ascii="宋体" w:hAnsi="宋体" w:cs="宋体"/>
          <w:b/>
          <w:bCs/>
          <w:kern w:val="44"/>
          <w:sz w:val="28"/>
          <w:szCs w:val="28"/>
        </w:rPr>
        <w:t>2、项目资金</w:t>
      </w:r>
      <w:r>
        <w:rPr>
          <w:rFonts w:hint="eastAsia" w:ascii="宋体" w:hAnsi="宋体" w:cs="宋体"/>
          <w:b/>
          <w:sz w:val="28"/>
          <w:szCs w:val="28"/>
          <w:shd w:val="clear" w:color="auto" w:fill="FFFFFF"/>
        </w:rPr>
        <w:t>缺乏</w:t>
      </w:r>
      <w:r>
        <w:rPr>
          <w:rFonts w:hint="eastAsia" w:ascii="宋体" w:hAnsi="宋体" w:cs="宋体"/>
          <w:b/>
          <w:bCs/>
          <w:kern w:val="44"/>
          <w:sz w:val="28"/>
          <w:szCs w:val="28"/>
        </w:rPr>
        <w:t>相应的资金分配方案</w:t>
      </w:r>
    </w:p>
    <w:p>
      <w:pPr>
        <w:pStyle w:val="24"/>
        <w:ind w:firstLine="560" w:firstLineChars="200"/>
        <w:rPr>
          <w:rFonts w:ascii="宋体" w:hAnsi="宋体" w:cs="宋体"/>
          <w:sz w:val="28"/>
          <w:szCs w:val="28"/>
        </w:rPr>
      </w:pPr>
      <w:r>
        <w:rPr>
          <w:rFonts w:hint="eastAsia" w:ascii="宋体" w:hAnsi="宋体" w:cs="宋体"/>
          <w:sz w:val="28"/>
          <w:szCs w:val="28"/>
        </w:rPr>
        <w:t>该项目未按照绩效管理的要求，制定相应的资金分配办法或者分配方案，合理分配项目资金，绩效目标也不够细化和量化，影响绩效评价工作的质量。</w:t>
      </w:r>
    </w:p>
    <w:p>
      <w:pPr>
        <w:pStyle w:val="24"/>
        <w:ind w:firstLine="560" w:firstLineChars="200"/>
        <w:rPr>
          <w:rFonts w:ascii="宋体" w:hAnsi="宋体" w:cs="宋体"/>
          <w:kern w:val="44"/>
          <w:sz w:val="30"/>
          <w:szCs w:val="30"/>
        </w:rPr>
      </w:pPr>
      <w:r>
        <w:rPr>
          <w:rFonts w:hint="eastAsia" w:ascii="宋体" w:hAnsi="宋体" w:cs="宋体"/>
          <w:sz w:val="28"/>
          <w:szCs w:val="28"/>
          <w:lang w:eastAsia="zh-CN"/>
        </w:rPr>
        <w:t>评价小组认为</w:t>
      </w:r>
      <w:r>
        <w:rPr>
          <w:rFonts w:hint="eastAsia" w:ascii="宋体" w:hAnsi="宋体" w:cs="宋体"/>
          <w:sz w:val="28"/>
          <w:szCs w:val="28"/>
        </w:rPr>
        <w:t>：项目单位应该增强绩效管理理念，严格按照绩效管理的要求，制定项目资金分配办法或者方案，做到项目资金分配因素全面、分配结果合理，提供项目资金的使用效率。</w:t>
      </w:r>
    </w:p>
    <w:p>
      <w:pPr>
        <w:rPr>
          <w:rFonts w:hint="eastAsia" w:asciiTheme="minorEastAsia" w:hAnsiTheme="minorEastAsia" w:eastAsiaTheme="minorEastAsia" w:cstheme="minorEastAsia"/>
          <w:b/>
          <w:bCs w:val="0"/>
          <w:sz w:val="28"/>
          <w:szCs w:val="28"/>
          <w:lang w:val="en-US" w:eastAsia="zh-CN"/>
        </w:rPr>
      </w:pPr>
      <w:r>
        <w:rPr>
          <w:rFonts w:hint="eastAsia" w:asciiTheme="minorEastAsia" w:hAnsiTheme="minorEastAsia" w:eastAsiaTheme="minorEastAsia" w:cstheme="minorEastAsia"/>
          <w:b w:val="0"/>
          <w:bCs/>
          <w:i w:val="0"/>
          <w:caps w:val="0"/>
          <w:color w:val="auto"/>
          <w:spacing w:val="0"/>
          <w:sz w:val="28"/>
          <w:szCs w:val="28"/>
          <w:shd w:val="clear" w:color="auto" w:fill="FFFFFF"/>
          <w:lang w:val="en-US" w:eastAsia="zh-CN"/>
        </w:rPr>
        <w:t xml:space="preserve">    </w:t>
      </w:r>
      <w:r>
        <w:rPr>
          <w:rFonts w:hint="eastAsia" w:asciiTheme="minorEastAsia" w:hAnsiTheme="minorEastAsia" w:eastAsiaTheme="minorEastAsia" w:cstheme="minorEastAsia"/>
          <w:b/>
          <w:bCs w:val="0"/>
          <w:i w:val="0"/>
          <w:caps w:val="0"/>
          <w:color w:val="auto"/>
          <w:spacing w:val="0"/>
          <w:sz w:val="28"/>
          <w:szCs w:val="28"/>
          <w:shd w:val="clear" w:color="auto" w:fill="FFFFFF"/>
          <w:lang w:val="en-US" w:eastAsia="zh-CN"/>
        </w:rPr>
        <w:t>（二）项目支出与财务管理方面</w:t>
      </w:r>
    </w:p>
    <w:p>
      <w:pPr>
        <w:pStyle w:val="4"/>
        <w:keepNext w:val="0"/>
        <w:keepLines w:val="0"/>
        <w:pageBreakBefore w:val="0"/>
        <w:widowControl w:val="0"/>
        <w:numPr>
          <w:ilvl w:val="0"/>
          <w:numId w:val="4"/>
        </w:numPr>
        <w:kinsoku/>
        <w:wordWrap/>
        <w:overflowPunct/>
        <w:topLinePunct w:val="0"/>
        <w:autoSpaceDE/>
        <w:autoSpaceDN/>
        <w:bidi w:val="0"/>
        <w:adjustRightInd/>
        <w:snapToGrid/>
        <w:spacing w:line="580" w:lineRule="atLeast"/>
        <w:ind w:left="630" w:leftChars="0" w:firstLine="0" w:firstLineChars="0"/>
        <w:textAlignment w:val="auto"/>
        <w:rPr>
          <w:rFonts w:hint="eastAsia" w:asciiTheme="minorEastAsia" w:hAnsiTheme="minorEastAsia" w:eastAsiaTheme="minorEastAsia" w:cstheme="minorEastAsia"/>
          <w:b/>
          <w:bCs/>
          <w:kern w:val="2"/>
          <w:sz w:val="28"/>
          <w:szCs w:val="28"/>
          <w:highlight w:val="none"/>
          <w:lang w:val="en-US" w:eastAsia="zh-CN" w:bidi="ar-SA"/>
        </w:rPr>
      </w:pPr>
      <w:r>
        <w:rPr>
          <w:rFonts w:hint="eastAsia" w:asciiTheme="minorEastAsia" w:hAnsiTheme="minorEastAsia" w:eastAsiaTheme="minorEastAsia" w:cstheme="minorEastAsia"/>
          <w:b/>
          <w:bCs/>
          <w:kern w:val="2"/>
          <w:sz w:val="28"/>
          <w:szCs w:val="28"/>
          <w:highlight w:val="none"/>
          <w:lang w:val="en-US" w:eastAsia="zh-CN" w:bidi="ar-SA"/>
        </w:rPr>
        <w:t>补贴发放不符合政策文件规定</w:t>
      </w:r>
    </w:p>
    <w:p>
      <w:pPr>
        <w:numPr>
          <w:ilvl w:val="0"/>
          <w:numId w:val="0"/>
        </w:numPr>
        <w:spacing w:line="360" w:lineRule="auto"/>
        <w:ind w:firstLine="560" w:firstLineChars="200"/>
        <w:rPr>
          <w:rFonts w:hint="default" w:ascii="宋体" w:hAnsi="宋体" w:eastAsia="宋体" w:cs="宋体"/>
          <w:kern w:val="2"/>
          <w:sz w:val="28"/>
          <w:szCs w:val="28"/>
          <w:highlight w:val="yellow"/>
          <w:lang w:val="en-US" w:eastAsia="zh-CN" w:bidi="ar-SA"/>
        </w:rPr>
      </w:pPr>
      <w:r>
        <w:rPr>
          <w:rFonts w:hint="eastAsia" w:ascii="宋体" w:hAnsi="宋体" w:eastAsia="宋体" w:cs="宋体"/>
          <w:kern w:val="2"/>
          <w:sz w:val="28"/>
          <w:szCs w:val="28"/>
          <w:lang w:val="en-US" w:eastAsia="zh-CN" w:bidi="ar-SA"/>
        </w:rPr>
        <w:t>（1）2022年部分单位未按就业见习补贴</w:t>
      </w:r>
      <w:r>
        <w:rPr>
          <w:rFonts w:hint="eastAsia" w:ascii="宋体" w:hAnsi="宋体" w:cs="宋体"/>
          <w:kern w:val="2"/>
          <w:sz w:val="28"/>
          <w:szCs w:val="28"/>
          <w:lang w:val="en-US" w:eastAsia="zh-CN" w:bidi="ar-SA"/>
        </w:rPr>
        <w:t>政策</w:t>
      </w:r>
      <w:r>
        <w:rPr>
          <w:rFonts w:hint="eastAsia" w:ascii="宋体" w:hAnsi="宋体" w:eastAsia="宋体" w:cs="宋体"/>
          <w:kern w:val="2"/>
          <w:sz w:val="28"/>
          <w:szCs w:val="28"/>
          <w:lang w:val="en-US" w:eastAsia="zh-CN" w:bidi="ar-SA"/>
        </w:rPr>
        <w:t>要求</w:t>
      </w:r>
      <w:r>
        <w:rPr>
          <w:rFonts w:hint="eastAsia" w:ascii="宋体" w:hAnsi="宋体" w:cs="宋体"/>
          <w:kern w:val="2"/>
          <w:sz w:val="28"/>
          <w:szCs w:val="28"/>
          <w:lang w:val="en-US" w:eastAsia="zh-CN" w:bidi="ar-SA"/>
        </w:rPr>
        <w:t>，</w:t>
      </w:r>
      <w:r>
        <w:rPr>
          <w:rFonts w:hint="eastAsia" w:ascii="宋体" w:hAnsi="宋体" w:eastAsia="宋体" w:cs="宋体"/>
          <w:kern w:val="2"/>
          <w:sz w:val="28"/>
          <w:szCs w:val="28"/>
          <w:lang w:val="en-US" w:eastAsia="zh-CN" w:bidi="ar-SA"/>
        </w:rPr>
        <w:t>为见习高校毕业生办理人身意外伤害保险，例如云溪区路口镇卫生院、岳阳市云溪区工商业联合会、湖南瑞源石化股份有限公司、岳阳市九原复合材料有限公司、岳阳市云溪区建设工程有限公司等单位，不符合《关于进一步做好我市高校毕业生就业见习工作的通知》（岳人社{2013}74号）中“见习基地按规定为见习高校毕业生办理人身意外伤害保险”</w:t>
      </w:r>
      <w:r>
        <w:rPr>
          <w:rFonts w:hint="eastAsia" w:ascii="宋体" w:hAnsi="宋体" w:cs="宋体"/>
          <w:kern w:val="2"/>
          <w:sz w:val="28"/>
          <w:szCs w:val="28"/>
          <w:lang w:val="en-US" w:eastAsia="zh-CN" w:bidi="ar-SA"/>
        </w:rPr>
        <w:t>的</w:t>
      </w:r>
      <w:r>
        <w:rPr>
          <w:rFonts w:hint="eastAsia" w:ascii="宋体" w:hAnsi="宋体" w:eastAsia="宋体" w:cs="宋体"/>
          <w:kern w:val="2"/>
          <w:sz w:val="28"/>
          <w:szCs w:val="28"/>
          <w:lang w:val="en-US" w:eastAsia="zh-CN" w:bidi="ar-SA"/>
        </w:rPr>
        <w:t xml:space="preserve">规定。   </w:t>
      </w:r>
    </w:p>
    <w:p>
      <w:pPr>
        <w:pStyle w:val="2"/>
        <w:numPr>
          <w:ilvl w:val="0"/>
          <w:numId w:val="0"/>
        </w:numPr>
        <w:ind w:firstLine="560" w:firstLineChars="200"/>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w:t>
      </w:r>
      <w:r>
        <w:rPr>
          <w:rFonts w:hint="eastAsia" w:ascii="宋体" w:hAnsi="宋体" w:cs="宋体"/>
          <w:kern w:val="2"/>
          <w:sz w:val="28"/>
          <w:szCs w:val="28"/>
          <w:lang w:val="en-US" w:eastAsia="zh-CN" w:bidi="ar-SA"/>
        </w:rPr>
        <w:t>2</w:t>
      </w:r>
      <w:r>
        <w:rPr>
          <w:rFonts w:hint="eastAsia" w:ascii="宋体" w:hAnsi="宋体" w:eastAsia="宋体" w:cs="宋体"/>
          <w:kern w:val="2"/>
          <w:sz w:val="28"/>
          <w:szCs w:val="28"/>
          <w:lang w:val="en-US" w:eastAsia="zh-CN" w:bidi="ar-SA"/>
        </w:rPr>
        <w:t>）根据</w:t>
      </w:r>
      <w:r>
        <w:rPr>
          <w:rFonts w:hint="eastAsia" w:ascii="宋体" w:hAnsi="宋体" w:cs="宋体"/>
          <w:kern w:val="2"/>
          <w:sz w:val="28"/>
          <w:szCs w:val="28"/>
          <w:lang w:val="en-US" w:eastAsia="zh-CN" w:bidi="ar-SA"/>
        </w:rPr>
        <w:t>《湖南省公益性岗位开发管理办法》中“</w:t>
      </w:r>
      <w:r>
        <w:rPr>
          <w:rFonts w:hint="eastAsia" w:ascii="宋体" w:hAnsi="宋体" w:eastAsia="宋体" w:cs="宋体"/>
          <w:kern w:val="2"/>
          <w:sz w:val="28"/>
          <w:szCs w:val="28"/>
          <w:lang w:val="en-US" w:eastAsia="zh-CN" w:bidi="ar-SA"/>
        </w:rPr>
        <w:t>公益性岗位补贴</w:t>
      </w:r>
      <w:r>
        <w:rPr>
          <w:rFonts w:hint="eastAsia" w:ascii="宋体" w:hAnsi="宋体" w:cs="宋体"/>
          <w:kern w:val="2"/>
          <w:sz w:val="28"/>
          <w:szCs w:val="28"/>
          <w:lang w:val="en-US" w:eastAsia="zh-CN" w:bidi="ar-SA"/>
        </w:rPr>
        <w:t>安置对象为我省认定的就业困难人员”的</w:t>
      </w:r>
      <w:r>
        <w:rPr>
          <w:rFonts w:hint="eastAsia" w:ascii="宋体" w:hAnsi="宋体" w:eastAsia="宋体" w:cs="宋体"/>
          <w:kern w:val="2"/>
          <w:sz w:val="28"/>
          <w:szCs w:val="28"/>
          <w:lang w:val="en-US" w:eastAsia="zh-CN" w:bidi="ar-SA"/>
        </w:rPr>
        <w:t>规定，</w:t>
      </w:r>
      <w:r>
        <w:rPr>
          <w:rFonts w:hint="eastAsia" w:ascii="宋体" w:hAnsi="宋体" w:cs="宋体"/>
          <w:kern w:val="2"/>
          <w:sz w:val="28"/>
          <w:szCs w:val="28"/>
          <w:lang w:val="en-US" w:eastAsia="zh-CN" w:bidi="ar-SA"/>
        </w:rPr>
        <w:t>该规定的原意为：</w:t>
      </w:r>
      <w:r>
        <w:rPr>
          <w:rFonts w:hint="eastAsia" w:ascii="宋体" w:hAnsi="宋体" w:eastAsia="宋体" w:cs="宋体"/>
          <w:kern w:val="2"/>
          <w:sz w:val="28"/>
          <w:szCs w:val="28"/>
          <w:lang w:val="en-US" w:eastAsia="zh-CN" w:bidi="ar-SA"/>
        </w:rPr>
        <w:t>公益性岗位补贴</w:t>
      </w:r>
      <w:r>
        <w:rPr>
          <w:rFonts w:hint="eastAsia" w:ascii="宋体" w:hAnsi="宋体" w:cs="宋体"/>
          <w:kern w:val="2"/>
          <w:sz w:val="28"/>
          <w:szCs w:val="28"/>
          <w:lang w:val="en-US" w:eastAsia="zh-CN" w:bidi="ar-SA"/>
        </w:rPr>
        <w:t>安置对象主要</w:t>
      </w:r>
      <w:r>
        <w:rPr>
          <w:rFonts w:hint="eastAsia" w:ascii="宋体" w:hAnsi="宋体" w:eastAsia="宋体" w:cs="宋体"/>
          <w:kern w:val="2"/>
          <w:sz w:val="28"/>
          <w:szCs w:val="28"/>
          <w:lang w:val="en-US" w:eastAsia="zh-CN" w:bidi="ar-SA"/>
        </w:rPr>
        <w:t>为就业困难人员，就业困难人员的核定由省认定</w:t>
      </w:r>
      <w:r>
        <w:rPr>
          <w:rFonts w:hint="eastAsia" w:ascii="宋体" w:hAnsi="宋体" w:cs="宋体"/>
          <w:kern w:val="2"/>
          <w:sz w:val="28"/>
          <w:szCs w:val="28"/>
          <w:lang w:val="en-US" w:eastAsia="zh-CN" w:bidi="ar-SA"/>
        </w:rPr>
        <w:t>，</w:t>
      </w:r>
      <w:r>
        <w:rPr>
          <w:rFonts w:hint="eastAsia" w:ascii="宋体" w:hAnsi="宋体" w:eastAsia="宋体" w:cs="宋体"/>
          <w:kern w:val="2"/>
          <w:sz w:val="28"/>
          <w:szCs w:val="28"/>
          <w:lang w:val="en-US" w:eastAsia="zh-CN" w:bidi="ar-SA"/>
        </w:rPr>
        <w:t>2022年就业服务中心共计发放公益性岗位补助</w:t>
      </w:r>
      <w:r>
        <w:rPr>
          <w:rFonts w:hint="eastAsia" w:ascii="宋体" w:hAnsi="宋体" w:cs="宋体"/>
          <w:kern w:val="2"/>
          <w:sz w:val="28"/>
          <w:szCs w:val="28"/>
          <w:lang w:val="en-US" w:eastAsia="zh-CN" w:bidi="ar-SA"/>
        </w:rPr>
        <w:t>395.6</w:t>
      </w:r>
      <w:r>
        <w:rPr>
          <w:rFonts w:hint="eastAsia" w:ascii="宋体" w:hAnsi="宋体" w:eastAsia="宋体" w:cs="宋体"/>
          <w:kern w:val="2"/>
          <w:sz w:val="28"/>
          <w:szCs w:val="28"/>
          <w:lang w:val="en-US" w:eastAsia="zh-CN" w:bidi="ar-SA"/>
        </w:rPr>
        <w:t>万</w:t>
      </w:r>
      <w:r>
        <w:rPr>
          <w:rFonts w:hint="eastAsia" w:ascii="宋体" w:hAnsi="宋体" w:cs="宋体"/>
          <w:kern w:val="2"/>
          <w:sz w:val="28"/>
          <w:szCs w:val="28"/>
          <w:lang w:val="en-US" w:eastAsia="zh-CN" w:bidi="ar-SA"/>
        </w:rPr>
        <w:t>元</w:t>
      </w:r>
      <w:r>
        <w:rPr>
          <w:rFonts w:hint="eastAsia" w:ascii="宋体" w:hAnsi="宋体" w:eastAsia="宋体" w:cs="宋体"/>
          <w:kern w:val="2"/>
          <w:sz w:val="28"/>
          <w:szCs w:val="28"/>
          <w:lang w:val="en-US" w:eastAsia="zh-CN" w:bidi="ar-SA"/>
        </w:rPr>
        <w:t>，</w:t>
      </w:r>
      <w:r>
        <w:rPr>
          <w:rFonts w:hint="eastAsia" w:ascii="宋体" w:hAnsi="宋体" w:cs="宋体"/>
          <w:kern w:val="2"/>
          <w:sz w:val="28"/>
          <w:szCs w:val="28"/>
          <w:lang w:val="en-US" w:eastAsia="zh-CN" w:bidi="ar-SA"/>
        </w:rPr>
        <w:t>就业服务中心将其分为两部分发放，一是</w:t>
      </w:r>
      <w:r>
        <w:rPr>
          <w:rFonts w:hint="eastAsia" w:ascii="宋体" w:hAnsi="宋体" w:eastAsia="宋体" w:cs="宋体"/>
          <w:kern w:val="2"/>
          <w:sz w:val="28"/>
          <w:szCs w:val="28"/>
          <w:lang w:val="en-US" w:eastAsia="zh-CN" w:bidi="ar-SA"/>
        </w:rPr>
        <w:t>乡村振兴公益性岗位补贴</w:t>
      </w:r>
      <w:r>
        <w:rPr>
          <w:rFonts w:hint="eastAsia" w:ascii="宋体" w:hAnsi="宋体" w:cs="宋体"/>
          <w:kern w:val="2"/>
          <w:sz w:val="28"/>
          <w:szCs w:val="28"/>
          <w:highlight w:val="none"/>
          <w:lang w:val="en-US" w:eastAsia="zh-CN" w:bidi="ar-SA"/>
        </w:rPr>
        <w:t>252.65万元</w:t>
      </w:r>
      <w:r>
        <w:rPr>
          <w:rFonts w:hint="eastAsia" w:ascii="宋体" w:hAnsi="宋体" w:eastAsia="宋体" w:cs="宋体"/>
          <w:kern w:val="2"/>
          <w:sz w:val="28"/>
          <w:szCs w:val="28"/>
          <w:highlight w:val="none"/>
          <w:lang w:val="en-US" w:eastAsia="zh-CN" w:bidi="ar-SA"/>
        </w:rPr>
        <w:t>，该部分</w:t>
      </w:r>
      <w:r>
        <w:rPr>
          <w:rFonts w:hint="eastAsia" w:ascii="宋体" w:hAnsi="宋体" w:cs="宋体"/>
          <w:kern w:val="2"/>
          <w:sz w:val="28"/>
          <w:szCs w:val="28"/>
          <w:highlight w:val="none"/>
          <w:lang w:val="en-US" w:eastAsia="zh-CN" w:bidi="ar-SA"/>
        </w:rPr>
        <w:t>申请补贴人员是</w:t>
      </w:r>
      <w:r>
        <w:rPr>
          <w:rFonts w:hint="eastAsia" w:ascii="宋体" w:hAnsi="宋体" w:eastAsia="宋体" w:cs="宋体"/>
          <w:kern w:val="2"/>
          <w:sz w:val="28"/>
          <w:szCs w:val="28"/>
          <w:highlight w:val="none"/>
          <w:lang w:val="en-US" w:eastAsia="zh-CN" w:bidi="ar-SA"/>
        </w:rPr>
        <w:t>由省认定的就业困难人员，就业服务中心审批发放补助，但剩余</w:t>
      </w:r>
      <w:r>
        <w:rPr>
          <w:rFonts w:hint="eastAsia" w:ascii="宋体" w:hAnsi="宋体" w:cs="宋体"/>
          <w:kern w:val="2"/>
          <w:sz w:val="28"/>
          <w:szCs w:val="28"/>
          <w:highlight w:val="none"/>
          <w:lang w:val="en-US" w:eastAsia="zh-CN" w:bidi="ar-SA"/>
        </w:rPr>
        <w:t>142.95万</w:t>
      </w:r>
      <w:r>
        <w:rPr>
          <w:rFonts w:hint="eastAsia" w:ascii="宋体" w:hAnsi="宋体" w:eastAsia="宋体" w:cs="宋体"/>
          <w:kern w:val="2"/>
          <w:sz w:val="28"/>
          <w:szCs w:val="28"/>
          <w:highlight w:val="none"/>
          <w:lang w:val="en-US" w:eastAsia="zh-CN" w:bidi="ar-SA"/>
        </w:rPr>
        <w:t>元的公益性岗位补贴，对就业困难人</w:t>
      </w:r>
      <w:r>
        <w:rPr>
          <w:rFonts w:hint="eastAsia" w:ascii="宋体" w:hAnsi="宋体" w:eastAsia="宋体" w:cs="宋体"/>
          <w:kern w:val="2"/>
          <w:sz w:val="28"/>
          <w:szCs w:val="28"/>
          <w:lang w:val="en-US" w:eastAsia="zh-CN" w:bidi="ar-SA"/>
        </w:rPr>
        <w:t>员的认定由居委会自主申请，仅凭居委会自主入户调查报告</w:t>
      </w:r>
      <w:r>
        <w:rPr>
          <w:rFonts w:hint="eastAsia" w:ascii="宋体" w:hAnsi="宋体" w:cs="宋体"/>
          <w:kern w:val="2"/>
          <w:sz w:val="28"/>
          <w:szCs w:val="28"/>
          <w:lang w:val="en-US" w:eastAsia="zh-CN" w:bidi="ar-SA"/>
        </w:rPr>
        <w:t>、签订</w:t>
      </w:r>
      <w:r>
        <w:rPr>
          <w:rFonts w:hint="eastAsia" w:ascii="宋体" w:hAnsi="宋体" w:eastAsia="宋体" w:cs="宋体"/>
          <w:kern w:val="2"/>
          <w:sz w:val="28"/>
          <w:szCs w:val="28"/>
          <w:lang w:val="en-US" w:eastAsia="zh-CN" w:bidi="ar-SA"/>
        </w:rPr>
        <w:t>协议</w:t>
      </w:r>
      <w:r>
        <w:rPr>
          <w:rFonts w:hint="eastAsia" w:ascii="宋体" w:hAnsi="宋体" w:cs="宋体"/>
          <w:kern w:val="2"/>
          <w:sz w:val="28"/>
          <w:szCs w:val="28"/>
          <w:lang w:val="en-US" w:eastAsia="zh-CN" w:bidi="ar-SA"/>
        </w:rPr>
        <w:t>后</w:t>
      </w:r>
      <w:r>
        <w:rPr>
          <w:rFonts w:hint="eastAsia" w:ascii="宋体" w:hAnsi="宋体" w:eastAsia="宋体" w:cs="宋体"/>
          <w:kern w:val="2"/>
          <w:sz w:val="28"/>
          <w:szCs w:val="28"/>
          <w:lang w:val="en-US" w:eastAsia="zh-CN" w:bidi="ar-SA"/>
        </w:rPr>
        <w:t>，认定就业困难人员申请发放</w:t>
      </w:r>
      <w:r>
        <w:rPr>
          <w:rFonts w:hint="eastAsia" w:ascii="宋体" w:hAnsi="宋体" w:cs="宋体"/>
          <w:kern w:val="2"/>
          <w:sz w:val="28"/>
          <w:szCs w:val="28"/>
          <w:lang w:val="en-US" w:eastAsia="zh-CN" w:bidi="ar-SA"/>
        </w:rPr>
        <w:t>补贴</w:t>
      </w:r>
      <w:r>
        <w:rPr>
          <w:rFonts w:hint="eastAsia" w:ascii="宋体" w:hAnsi="宋体" w:eastAsia="宋体" w:cs="宋体"/>
          <w:kern w:val="2"/>
          <w:sz w:val="28"/>
          <w:szCs w:val="28"/>
          <w:lang w:val="en-US" w:eastAsia="zh-CN" w:bidi="ar-SA"/>
        </w:rPr>
        <w:t>，未经省认定</w:t>
      </w:r>
      <w:r>
        <w:rPr>
          <w:rFonts w:hint="eastAsia" w:ascii="宋体" w:hAnsi="宋体" w:cs="宋体"/>
          <w:kern w:val="2"/>
          <w:sz w:val="28"/>
          <w:szCs w:val="28"/>
          <w:lang w:val="en-US" w:eastAsia="zh-CN" w:bidi="ar-SA"/>
        </w:rPr>
        <w:t>。</w:t>
      </w:r>
    </w:p>
    <w:p>
      <w:pPr>
        <w:spacing w:line="360" w:lineRule="auto"/>
        <w:ind w:firstLine="555"/>
        <w:rPr>
          <w:rFonts w:hint="default" w:ascii="宋体" w:hAnsi="宋体" w:eastAsia="宋体" w:cs="宋体"/>
          <w:b/>
          <w:bCs/>
          <w:kern w:val="2"/>
          <w:sz w:val="28"/>
          <w:szCs w:val="28"/>
          <w:lang w:val="en-US" w:eastAsia="zh-CN" w:bidi="ar-SA"/>
        </w:rPr>
      </w:pPr>
      <w:r>
        <w:rPr>
          <w:rFonts w:hint="eastAsia" w:ascii="宋体" w:hAnsi="宋体" w:eastAsia="宋体" w:cs="宋体"/>
          <w:b/>
          <w:bCs/>
          <w:kern w:val="2"/>
          <w:sz w:val="28"/>
          <w:szCs w:val="28"/>
          <w:lang w:val="en-US" w:eastAsia="zh-CN" w:bidi="ar-SA"/>
        </w:rPr>
        <w:t>2、补贴发放不严谨</w:t>
      </w:r>
    </w:p>
    <w:p>
      <w:pPr>
        <w:spacing w:line="360" w:lineRule="auto"/>
        <w:ind w:firstLine="560" w:firstLineChars="200"/>
        <w:rPr>
          <w:rFonts w:hint="default"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（1）</w:t>
      </w:r>
      <w:r>
        <w:rPr>
          <w:rFonts w:hint="eastAsia" w:ascii="宋体" w:hAnsi="宋体" w:cs="宋体"/>
          <w:kern w:val="2"/>
          <w:sz w:val="28"/>
          <w:szCs w:val="28"/>
          <w:lang w:val="en-US" w:eastAsia="zh-CN" w:bidi="ar-SA"/>
        </w:rPr>
        <w:t>2022年</w:t>
      </w:r>
      <w:r>
        <w:rPr>
          <w:rFonts w:hint="eastAsia" w:ascii="宋体" w:hAnsi="宋体" w:eastAsia="宋体" w:cs="宋体"/>
          <w:kern w:val="2"/>
          <w:sz w:val="28"/>
          <w:szCs w:val="28"/>
          <w:lang w:val="en-US" w:eastAsia="zh-CN" w:bidi="ar-SA"/>
        </w:rPr>
        <w:t>发放岳阳市云溪区人民医院2019年至2020年见习补贴183</w:t>
      </w:r>
      <w:r>
        <w:rPr>
          <w:rFonts w:hint="eastAsia" w:ascii="宋体" w:hAnsi="宋体" w:cs="宋体"/>
          <w:kern w:val="2"/>
          <w:sz w:val="28"/>
          <w:szCs w:val="28"/>
          <w:lang w:val="en-US" w:eastAsia="zh-CN" w:bidi="ar-SA"/>
        </w:rPr>
        <w:t>,</w:t>
      </w:r>
      <w:r>
        <w:rPr>
          <w:rFonts w:hint="eastAsia" w:ascii="宋体" w:hAnsi="宋体" w:eastAsia="宋体" w:cs="宋体"/>
          <w:kern w:val="2"/>
          <w:sz w:val="28"/>
          <w:szCs w:val="28"/>
          <w:lang w:val="en-US" w:eastAsia="zh-CN" w:bidi="ar-SA"/>
        </w:rPr>
        <w:t>920元，其中三人见习时间为2019年至</w:t>
      </w:r>
      <w:r>
        <w:rPr>
          <w:rFonts w:hint="eastAsia" w:ascii="宋体" w:hAnsi="宋体" w:eastAsia="宋体" w:cs="宋体"/>
          <w:color w:val="auto"/>
          <w:kern w:val="2"/>
          <w:sz w:val="28"/>
          <w:szCs w:val="28"/>
          <w:lang w:val="en-US" w:eastAsia="zh-CN" w:bidi="ar-SA"/>
        </w:rPr>
        <w:t>2020年，时间</w:t>
      </w:r>
      <w:r>
        <w:rPr>
          <w:rFonts w:hint="eastAsia" w:ascii="宋体" w:hAnsi="宋体" w:cs="宋体"/>
          <w:color w:val="auto"/>
          <w:kern w:val="2"/>
          <w:sz w:val="28"/>
          <w:szCs w:val="28"/>
          <w:lang w:val="en-US" w:eastAsia="zh-CN" w:bidi="ar-SA"/>
        </w:rPr>
        <w:t>跨度</w:t>
      </w:r>
      <w:r>
        <w:rPr>
          <w:rFonts w:hint="eastAsia" w:ascii="宋体" w:hAnsi="宋体" w:eastAsia="宋体" w:cs="宋体"/>
          <w:color w:val="auto"/>
          <w:kern w:val="2"/>
          <w:sz w:val="28"/>
          <w:szCs w:val="28"/>
          <w:lang w:val="en-US" w:eastAsia="zh-CN" w:bidi="ar-SA"/>
        </w:rPr>
        <w:t>过长，</w:t>
      </w:r>
      <w:r>
        <w:rPr>
          <w:rFonts w:hint="eastAsia" w:ascii="宋体" w:hAnsi="宋体" w:cs="宋体"/>
          <w:color w:val="auto"/>
          <w:kern w:val="2"/>
          <w:sz w:val="28"/>
          <w:szCs w:val="28"/>
          <w:lang w:val="en-US" w:eastAsia="zh-CN" w:bidi="ar-SA"/>
        </w:rPr>
        <w:t>根据文件规定，</w:t>
      </w:r>
      <w:r>
        <w:rPr>
          <w:rFonts w:hint="eastAsia" w:ascii="宋体" w:hAnsi="宋体" w:eastAsia="宋体" w:cs="宋体"/>
          <w:color w:val="auto"/>
          <w:kern w:val="2"/>
          <w:sz w:val="28"/>
          <w:szCs w:val="28"/>
          <w:lang w:val="en-US" w:eastAsia="zh-CN" w:bidi="ar-SA"/>
        </w:rPr>
        <w:t>2022年的见习补贴专项资金应发放2021年见习人员。</w:t>
      </w:r>
      <w:r>
        <w:rPr>
          <w:rFonts w:hint="eastAsia" w:ascii="宋体" w:hAnsi="宋体" w:cs="宋体"/>
          <w:color w:val="auto"/>
          <w:kern w:val="2"/>
          <w:sz w:val="28"/>
          <w:szCs w:val="28"/>
          <w:lang w:val="en-US" w:eastAsia="zh-CN" w:bidi="ar-SA"/>
        </w:rPr>
        <w:t xml:space="preserve"> </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80" w:lineRule="atLeast"/>
        <w:ind w:firstLine="560" w:firstLineChars="200"/>
        <w:textAlignment w:val="auto"/>
        <w:rPr>
          <w:rFonts w:hint="default"/>
          <w:highlight w:val="none"/>
          <w:lang w:val="en-US" w:eastAsia="zh-CN"/>
        </w:rPr>
      </w:pPr>
      <w:r>
        <w:rPr>
          <w:rFonts w:hint="eastAsia" w:ascii="宋体" w:hAnsi="宋体" w:eastAsia="宋体" w:cs="宋体"/>
          <w:kern w:val="2"/>
          <w:sz w:val="28"/>
          <w:szCs w:val="28"/>
          <w:lang w:val="en-US" w:eastAsia="zh-CN" w:bidi="ar-SA"/>
        </w:rPr>
        <w:t>（2）发放岳阳</w:t>
      </w:r>
      <w:r>
        <w:rPr>
          <w:rFonts w:hint="eastAsia" w:ascii="宋体" w:hAnsi="宋体" w:eastAsia="宋体" w:cs="宋体"/>
          <w:color w:val="auto"/>
          <w:kern w:val="2"/>
          <w:sz w:val="28"/>
          <w:szCs w:val="28"/>
          <w:lang w:val="en-US" w:eastAsia="zh-CN" w:bidi="ar-SA"/>
        </w:rPr>
        <w:t>市九原复合材料有限公司2019年至2020年见习补贴20790元，三人见习时间为2019年，时间</w:t>
      </w:r>
      <w:r>
        <w:rPr>
          <w:rFonts w:hint="eastAsia" w:ascii="宋体" w:hAnsi="宋体" w:cs="宋体"/>
          <w:color w:val="auto"/>
          <w:kern w:val="2"/>
          <w:sz w:val="28"/>
          <w:szCs w:val="28"/>
          <w:lang w:val="en-US" w:eastAsia="zh-CN" w:bidi="ar-SA"/>
        </w:rPr>
        <w:t>跨度</w:t>
      </w:r>
      <w:r>
        <w:rPr>
          <w:rFonts w:hint="eastAsia" w:ascii="宋体" w:hAnsi="宋体" w:eastAsia="宋体" w:cs="宋体"/>
          <w:color w:val="auto"/>
          <w:kern w:val="2"/>
          <w:sz w:val="28"/>
          <w:szCs w:val="28"/>
          <w:lang w:val="en-US" w:eastAsia="zh-CN" w:bidi="ar-SA"/>
        </w:rPr>
        <w:t>过长，</w:t>
      </w:r>
      <w:r>
        <w:rPr>
          <w:rFonts w:hint="eastAsia" w:ascii="宋体" w:hAnsi="宋体" w:cs="宋体"/>
          <w:color w:val="auto"/>
          <w:kern w:val="2"/>
          <w:sz w:val="28"/>
          <w:szCs w:val="28"/>
          <w:lang w:val="en-US" w:eastAsia="zh-CN" w:bidi="ar-SA"/>
        </w:rPr>
        <w:t>根据文件规定，</w:t>
      </w:r>
      <w:r>
        <w:rPr>
          <w:rFonts w:hint="eastAsia" w:ascii="宋体" w:hAnsi="宋体" w:eastAsia="宋体" w:cs="宋体"/>
          <w:color w:val="auto"/>
          <w:kern w:val="2"/>
          <w:sz w:val="28"/>
          <w:szCs w:val="28"/>
          <w:lang w:val="en-US" w:eastAsia="zh-CN" w:bidi="ar-SA"/>
        </w:rPr>
        <w:t>2022年的见习补贴专项资金应发放2021年见习人员</w:t>
      </w:r>
      <w:r>
        <w:rPr>
          <w:rFonts w:hint="eastAsia" w:ascii="宋体" w:hAnsi="宋体" w:eastAsia="宋体" w:cs="宋体"/>
          <w:kern w:val="2"/>
          <w:sz w:val="28"/>
          <w:szCs w:val="28"/>
          <w:lang w:val="en-US" w:eastAsia="zh-CN" w:bidi="ar-SA"/>
        </w:rPr>
        <w:t>。</w:t>
      </w:r>
    </w:p>
    <w:p>
      <w:pPr>
        <w:pStyle w:val="5"/>
        <w:ind w:left="0" w:leftChars="0" w:firstLine="562" w:firstLineChars="200"/>
        <w:rPr>
          <w:rFonts w:hint="default" w:ascii="宋体" w:hAnsi="宋体" w:eastAsia="宋体" w:cs="宋体"/>
          <w:b/>
          <w:bCs/>
          <w:kern w:val="2"/>
          <w:sz w:val="28"/>
          <w:szCs w:val="28"/>
          <w:lang w:val="en-US" w:eastAsia="zh-CN" w:bidi="ar-SA"/>
        </w:rPr>
      </w:pPr>
      <w:r>
        <w:rPr>
          <w:rFonts w:hint="eastAsia" w:ascii="宋体" w:hAnsi="宋体" w:eastAsia="宋体" w:cs="宋体"/>
          <w:b/>
          <w:bCs/>
          <w:kern w:val="2"/>
          <w:sz w:val="28"/>
          <w:szCs w:val="28"/>
          <w:lang w:val="en-US" w:eastAsia="zh-CN" w:bidi="ar-SA"/>
        </w:rPr>
        <w:t>3、信息化管理滞后、未按要求设立线下台账管理</w:t>
      </w:r>
    </w:p>
    <w:p>
      <w:pPr>
        <w:pStyle w:val="5"/>
        <w:spacing w:line="360" w:lineRule="auto"/>
        <w:ind w:left="0" w:leftChars="0" w:firstLine="560" w:firstLineChars="200"/>
        <w:rPr>
          <w:rFonts w:hint="eastAsia" w:ascii="宋体" w:hAnsi="宋体" w:eastAsia="宋体" w:cs="宋体"/>
          <w:color w:val="auto"/>
          <w:kern w:val="2"/>
          <w:sz w:val="28"/>
          <w:szCs w:val="28"/>
          <w:lang w:val="en-US" w:eastAsia="zh-CN" w:bidi="ar-SA"/>
        </w:rPr>
      </w:pPr>
      <w:r>
        <w:rPr>
          <w:rFonts w:hint="eastAsia" w:ascii="宋体" w:hAnsi="宋体" w:eastAsia="宋体" w:cs="宋体"/>
          <w:kern w:val="2"/>
          <w:sz w:val="28"/>
          <w:szCs w:val="28"/>
          <w:lang w:val="en-US" w:eastAsia="zh-CN" w:bidi="ar-SA"/>
        </w:rPr>
        <w:t>2022年度就业补</w:t>
      </w:r>
      <w:r>
        <w:rPr>
          <w:rFonts w:hint="eastAsia" w:ascii="宋体" w:hAnsi="宋体" w:eastAsia="宋体" w:cs="宋体"/>
          <w:color w:val="auto"/>
          <w:kern w:val="2"/>
          <w:sz w:val="28"/>
          <w:szCs w:val="28"/>
          <w:lang w:val="en-US" w:eastAsia="zh-CN" w:bidi="ar-SA"/>
        </w:rPr>
        <w:t>助资金共计支出</w:t>
      </w:r>
      <w:r>
        <w:rPr>
          <w:rFonts w:hint="eastAsia" w:asciiTheme="minorEastAsia" w:hAnsiTheme="minorEastAsia" w:eastAsiaTheme="minorEastAsia" w:cstheme="minorEastAsia"/>
          <w:bCs/>
          <w:color w:val="auto"/>
          <w:kern w:val="2"/>
          <w:sz w:val="28"/>
          <w:szCs w:val="28"/>
          <w:lang w:val="en-US" w:eastAsia="zh-CN" w:bidi="ar-SA"/>
        </w:rPr>
        <w:t>975.12万元，主要用于八个专项补贴，八个专项补贴中补贴人数较多，信息化系统无法导出补贴人员名单，就业服务中心也未将申请补贴人员录入台账管理</w:t>
      </w:r>
      <w:r>
        <w:rPr>
          <w:rFonts w:hint="eastAsia" w:ascii="宋体" w:hAnsi="宋体" w:eastAsia="宋体" w:cs="宋体"/>
          <w:color w:val="auto"/>
          <w:kern w:val="2"/>
          <w:sz w:val="28"/>
          <w:szCs w:val="28"/>
          <w:lang w:val="en-US" w:eastAsia="zh-CN" w:bidi="ar-SA"/>
        </w:rPr>
        <w:t>，因项目单位未能提供补贴人员电子表格名单，绩效评价小组无法筛选是否有重复领取专项资金的情况。</w:t>
      </w:r>
    </w:p>
    <w:p>
      <w:pPr>
        <w:pStyle w:val="5"/>
        <w:numPr>
          <w:ilvl w:val="0"/>
          <w:numId w:val="5"/>
        </w:numPr>
        <w:spacing w:line="360" w:lineRule="auto"/>
        <w:ind w:left="0" w:leftChars="0" w:firstLine="562" w:firstLineChars="200"/>
        <w:rPr>
          <w:rFonts w:hint="eastAsia" w:ascii="宋体" w:hAnsi="宋体" w:eastAsia="宋体" w:cs="宋体"/>
          <w:b/>
          <w:bCs/>
          <w:kern w:val="2"/>
          <w:sz w:val="28"/>
          <w:szCs w:val="28"/>
          <w:lang w:val="en-US" w:eastAsia="zh-CN" w:bidi="ar-SA"/>
        </w:rPr>
      </w:pPr>
      <w:r>
        <w:rPr>
          <w:rFonts w:hint="eastAsia" w:ascii="宋体" w:hAnsi="宋体" w:eastAsia="宋体" w:cs="宋体"/>
          <w:b/>
          <w:bCs/>
          <w:kern w:val="2"/>
          <w:sz w:val="28"/>
          <w:szCs w:val="28"/>
          <w:lang w:val="en-US" w:eastAsia="zh-CN" w:bidi="ar-SA"/>
        </w:rPr>
        <w:t>有关建议</w:t>
      </w:r>
    </w:p>
    <w:p>
      <w:pPr>
        <w:pStyle w:val="5"/>
        <w:numPr>
          <w:ilvl w:val="0"/>
          <w:numId w:val="0"/>
        </w:numPr>
        <w:spacing w:line="360" w:lineRule="auto"/>
        <w:ind w:firstLine="560" w:firstLineChars="200"/>
        <w:rPr>
          <w:rFonts w:hint="eastAsia" w:ascii="宋体" w:hAnsi="宋体" w:eastAsia="宋体" w:cs="宋体"/>
          <w:b w:val="0"/>
          <w:bCs w:val="0"/>
          <w:sz w:val="28"/>
          <w:szCs w:val="28"/>
        </w:rPr>
      </w:pPr>
      <w:r>
        <w:rPr>
          <w:rFonts w:hint="eastAsia" w:ascii="宋体" w:hAnsi="宋体" w:eastAsia="宋体" w:cs="宋体"/>
          <w:b w:val="0"/>
          <w:bCs w:val="0"/>
          <w:kern w:val="2"/>
          <w:sz w:val="28"/>
          <w:szCs w:val="28"/>
          <w:lang w:val="en-US" w:eastAsia="zh-CN" w:bidi="ar-SA"/>
        </w:rPr>
        <w:t>1、</w:t>
      </w:r>
      <w:r>
        <w:rPr>
          <w:rFonts w:hint="eastAsia" w:ascii="宋体" w:hAnsi="宋体" w:eastAsia="宋体" w:cs="宋体"/>
          <w:b w:val="0"/>
          <w:bCs w:val="0"/>
          <w:sz w:val="28"/>
          <w:szCs w:val="28"/>
        </w:rPr>
        <w:t>增强绩效管理理念、严格履行绩效管理流程</w:t>
      </w:r>
    </w:p>
    <w:p>
      <w:pPr>
        <w:pStyle w:val="34"/>
        <w:spacing w:line="360" w:lineRule="auto"/>
        <w:ind w:firstLine="600"/>
        <w:rPr>
          <w:rFonts w:ascii="宋体" w:hAnsi="宋体" w:cs="宋体"/>
          <w:kern w:val="44"/>
          <w:sz w:val="28"/>
          <w:szCs w:val="28"/>
        </w:rPr>
      </w:pPr>
      <w:r>
        <w:rPr>
          <w:rFonts w:hint="eastAsia" w:ascii="宋体" w:hAnsi="宋体" w:cs="宋体"/>
          <w:kern w:val="44"/>
          <w:sz w:val="28"/>
          <w:szCs w:val="28"/>
        </w:rPr>
        <w:t>项目单位应按照财政部门、主管部门的要求，在项目实施前应及时向财政部门提交绩效目标申报，并保存项目产出的有关资料；</w:t>
      </w:r>
      <w:r>
        <w:rPr>
          <w:rFonts w:hint="eastAsia" w:ascii="宋体" w:hAnsi="宋体" w:cs="宋体"/>
          <w:sz w:val="28"/>
          <w:szCs w:val="28"/>
        </w:rPr>
        <w:t>同时，项目单位应严格按照绩效管理的要求，制定项目资金分配办法或者方案，做到项目资金分配因素全面、分配结果合理，提高项目资金的使用效率。</w:t>
      </w:r>
    </w:p>
    <w:p>
      <w:pPr>
        <w:pStyle w:val="2"/>
        <w:numPr>
          <w:ilvl w:val="0"/>
          <w:numId w:val="0"/>
        </w:numPr>
        <w:spacing w:line="360" w:lineRule="auto"/>
        <w:ind w:left="630" w:leftChars="0"/>
        <w:rPr>
          <w:rFonts w:hint="eastAsia" w:ascii="宋体" w:hAnsi="宋体" w:cs="宋体"/>
          <w:sz w:val="28"/>
          <w:szCs w:val="28"/>
        </w:rPr>
      </w:pPr>
      <w:r>
        <w:rPr>
          <w:rFonts w:hint="eastAsia" w:ascii="宋体" w:hAnsi="宋体" w:cs="宋体"/>
          <w:sz w:val="28"/>
          <w:szCs w:val="28"/>
          <w:lang w:val="en-US" w:eastAsia="zh-CN"/>
        </w:rPr>
        <w:t>2、</w:t>
      </w:r>
      <w:r>
        <w:rPr>
          <w:rFonts w:hint="eastAsia" w:ascii="宋体" w:hAnsi="宋体" w:cs="宋体"/>
          <w:sz w:val="28"/>
          <w:szCs w:val="28"/>
        </w:rPr>
        <w:t>强化项目全过程管理，提高政策执行力度。</w:t>
      </w:r>
    </w:p>
    <w:p>
      <w:pPr>
        <w:pStyle w:val="2"/>
        <w:numPr>
          <w:ilvl w:val="0"/>
          <w:numId w:val="0"/>
        </w:numPr>
        <w:spacing w:line="360" w:lineRule="auto"/>
        <w:ind w:firstLine="560" w:firstLineChars="200"/>
        <w:rPr>
          <w:rFonts w:hint="default" w:asciiTheme="minorEastAsia" w:hAnsiTheme="minorEastAsia" w:eastAsiaTheme="minorEastAsia" w:cstheme="minorEastAsia"/>
          <w:b w:val="0"/>
          <w:bCs w:val="0"/>
          <w:kern w:val="2"/>
          <w:sz w:val="28"/>
          <w:szCs w:val="28"/>
          <w:lang w:val="en-US" w:eastAsia="zh-CN" w:bidi="ar-SA"/>
        </w:rPr>
      </w:pPr>
      <w:r>
        <w:rPr>
          <w:rFonts w:hint="eastAsia" w:ascii="宋体" w:hAnsi="宋体" w:cs="宋体"/>
          <w:sz w:val="28"/>
          <w:szCs w:val="28"/>
        </w:rPr>
        <w:t>进一步强化项目全过程管理，项目主管单位应加大项目实施的过程监督，严格执行国家财经法规。资金使用单位加强资金的管理，从严控制项目支出，加强对项目资金使用的监督，确保项目实施全过程合规、合法，较好的实现项目实施目标。</w:t>
      </w:r>
    </w:p>
    <w:p>
      <w:pPr>
        <w:ind w:firstLine="562" w:firstLineChars="200"/>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lang w:eastAsia="zh-CN"/>
        </w:rPr>
        <w:t>五</w:t>
      </w:r>
      <w:r>
        <w:rPr>
          <w:rFonts w:hint="eastAsia" w:asciiTheme="minorEastAsia" w:hAnsiTheme="minorEastAsia" w:eastAsiaTheme="minorEastAsia" w:cstheme="minorEastAsia"/>
          <w:b/>
          <w:sz w:val="28"/>
          <w:szCs w:val="28"/>
        </w:rPr>
        <w:t>、其他需要说明的问题</w:t>
      </w:r>
    </w:p>
    <w:p>
      <w:pPr>
        <w:ind w:firstLine="560" w:firstLineChars="200"/>
        <w:rPr>
          <w:rFonts w:hint="eastAsia" w:ascii="宋体" w:hAnsi="宋体" w:eastAsia="宋体" w:cs="宋体"/>
          <w:color w:val="000000"/>
          <w:sz w:val="28"/>
          <w:szCs w:val="28"/>
        </w:rPr>
      </w:pPr>
      <w:r>
        <w:rPr>
          <w:rFonts w:hint="eastAsia" w:asciiTheme="minorEastAsia" w:hAnsiTheme="minorEastAsia" w:eastAsiaTheme="minorEastAsia" w:cstheme="minorEastAsia"/>
          <w:color w:val="000000"/>
          <w:sz w:val="28"/>
          <w:szCs w:val="28"/>
        </w:rPr>
        <w:t xml:space="preserve"> 1、本报告数据仅根据</w:t>
      </w:r>
      <w:r>
        <w:rPr>
          <w:rFonts w:hint="eastAsia" w:asciiTheme="minorEastAsia" w:hAnsiTheme="minorEastAsia" w:eastAsiaTheme="minorEastAsia" w:cstheme="minorEastAsia"/>
          <w:sz w:val="28"/>
          <w:szCs w:val="28"/>
        </w:rPr>
        <w:t>项目单位</w:t>
      </w:r>
      <w:r>
        <w:rPr>
          <w:rFonts w:hint="eastAsia" w:asciiTheme="minorEastAsia" w:hAnsiTheme="minorEastAsia" w:eastAsiaTheme="minorEastAsia" w:cstheme="minorEastAsia"/>
          <w:color w:val="000000"/>
          <w:sz w:val="28"/>
          <w:szCs w:val="28"/>
        </w:rPr>
        <w:t>提供的文件、资料、原始</w:t>
      </w:r>
      <w:r>
        <w:rPr>
          <w:rFonts w:hint="eastAsia" w:asciiTheme="minorEastAsia" w:hAnsiTheme="minorEastAsia" w:eastAsiaTheme="minorEastAsia" w:cstheme="minorEastAsia"/>
          <w:color w:val="000000"/>
          <w:sz w:val="28"/>
          <w:szCs w:val="28"/>
          <w:lang w:val="en-US" w:eastAsia="zh-CN"/>
        </w:rPr>
        <w:t>凭</w:t>
      </w:r>
      <w:r>
        <w:rPr>
          <w:rFonts w:hint="eastAsia" w:asciiTheme="minorEastAsia" w:hAnsiTheme="minorEastAsia" w:eastAsiaTheme="minorEastAsia" w:cstheme="minorEastAsia"/>
          <w:color w:val="000000"/>
          <w:sz w:val="28"/>
          <w:szCs w:val="28"/>
        </w:rPr>
        <w:t>证、清单数据及内</w:t>
      </w:r>
      <w:r>
        <w:rPr>
          <w:rFonts w:hint="eastAsia" w:ascii="宋体" w:hAnsi="宋体" w:eastAsia="宋体" w:cs="宋体"/>
          <w:color w:val="000000"/>
          <w:sz w:val="28"/>
          <w:szCs w:val="28"/>
        </w:rPr>
        <w:t>容进行的</w:t>
      </w:r>
      <w:r>
        <w:rPr>
          <w:rFonts w:hint="eastAsia" w:ascii="宋体" w:hAnsi="宋体" w:eastAsia="宋体" w:cs="宋体"/>
          <w:color w:val="000000"/>
          <w:sz w:val="28"/>
          <w:szCs w:val="28"/>
          <w:lang w:eastAsia="zh-CN"/>
        </w:rPr>
        <w:t>评价</w:t>
      </w:r>
      <w:r>
        <w:rPr>
          <w:rFonts w:hint="eastAsia" w:ascii="宋体" w:hAnsi="宋体" w:eastAsia="宋体" w:cs="宋体"/>
          <w:color w:val="000000"/>
          <w:sz w:val="28"/>
          <w:szCs w:val="28"/>
        </w:rPr>
        <w:t>，</w:t>
      </w:r>
      <w:r>
        <w:rPr>
          <w:rFonts w:hint="eastAsia" w:ascii="宋体" w:hAnsi="宋体" w:eastAsia="宋体" w:cs="宋体"/>
          <w:color w:val="000000"/>
          <w:sz w:val="28"/>
          <w:szCs w:val="28"/>
          <w:lang w:eastAsia="zh-CN"/>
        </w:rPr>
        <w:t>绩效评价</w:t>
      </w:r>
      <w:r>
        <w:rPr>
          <w:rFonts w:hint="eastAsia" w:ascii="宋体" w:hAnsi="宋体" w:eastAsia="宋体" w:cs="宋体"/>
          <w:color w:val="000000"/>
          <w:sz w:val="28"/>
          <w:szCs w:val="28"/>
        </w:rPr>
        <w:t>意见和观点是在</w:t>
      </w:r>
      <w:r>
        <w:rPr>
          <w:rFonts w:hint="eastAsia" w:ascii="宋体" w:hAnsi="宋体" w:eastAsia="宋体" w:cs="宋体"/>
          <w:color w:val="000000"/>
          <w:sz w:val="28"/>
          <w:szCs w:val="28"/>
          <w:lang w:eastAsia="zh-CN"/>
        </w:rPr>
        <w:t>规定</w:t>
      </w:r>
      <w:r>
        <w:rPr>
          <w:rFonts w:hint="eastAsia" w:ascii="宋体" w:hAnsi="宋体" w:eastAsia="宋体" w:cs="宋体"/>
          <w:color w:val="000000"/>
          <w:sz w:val="28"/>
          <w:szCs w:val="28"/>
        </w:rPr>
        <w:t>时点的基础上出具的，</w:t>
      </w:r>
      <w:r>
        <w:rPr>
          <w:rFonts w:hint="eastAsia" w:ascii="宋体" w:hAnsi="宋体" w:eastAsia="宋体" w:cs="宋体"/>
          <w:color w:val="000000"/>
          <w:sz w:val="28"/>
          <w:szCs w:val="28"/>
          <w:lang w:eastAsia="zh-CN"/>
        </w:rPr>
        <w:t>本报告不包含之后项目的动态变化情况</w:t>
      </w:r>
      <w:r>
        <w:rPr>
          <w:rFonts w:hint="eastAsia" w:ascii="宋体" w:hAnsi="宋体" w:eastAsia="宋体" w:cs="宋体"/>
          <w:color w:val="000000"/>
          <w:sz w:val="28"/>
          <w:szCs w:val="28"/>
        </w:rPr>
        <w:t>。</w:t>
      </w:r>
    </w:p>
    <w:p>
      <w:pPr>
        <w:rPr>
          <w:rFonts w:hint="eastAsia" w:ascii="宋体" w:hAnsi="宋体" w:eastAsia="宋体" w:cs="宋体"/>
          <w:color w:val="000000"/>
          <w:sz w:val="28"/>
          <w:szCs w:val="28"/>
          <w:lang w:eastAsia="zh-CN"/>
        </w:rPr>
      </w:pPr>
      <w:r>
        <w:rPr>
          <w:rFonts w:hint="eastAsia" w:ascii="宋体" w:hAnsi="宋体" w:eastAsia="宋体" w:cs="宋体"/>
          <w:sz w:val="28"/>
          <w:szCs w:val="28"/>
        </w:rPr>
        <w:t xml:space="preserve">  </w:t>
      </w:r>
      <w:r>
        <w:rPr>
          <w:rFonts w:hint="eastAsia" w:ascii="宋体" w:hAnsi="宋体" w:eastAsia="宋体" w:cs="宋体"/>
          <w:color w:val="000000"/>
          <w:sz w:val="28"/>
          <w:szCs w:val="28"/>
          <w:lang w:eastAsia="zh-CN"/>
        </w:rPr>
        <w:t xml:space="preserve">   2、本报告仅供</w:t>
      </w:r>
      <w:r>
        <w:rPr>
          <w:rFonts w:hint="eastAsia" w:ascii="宋体" w:hAnsi="宋体" w:cs="宋体"/>
          <w:color w:val="000000"/>
          <w:sz w:val="28"/>
          <w:szCs w:val="28"/>
          <w:lang w:val="en-US" w:eastAsia="zh-CN"/>
        </w:rPr>
        <w:t>2022年度就业补助</w:t>
      </w:r>
      <w:r>
        <w:rPr>
          <w:rFonts w:hint="eastAsia" w:ascii="宋体" w:hAnsi="宋体" w:eastAsia="宋体" w:cs="宋体"/>
          <w:color w:val="000000"/>
          <w:sz w:val="28"/>
          <w:szCs w:val="28"/>
          <w:lang w:val="en-US" w:eastAsia="zh-CN"/>
        </w:rPr>
        <w:t>专项资金</w:t>
      </w:r>
      <w:r>
        <w:rPr>
          <w:rFonts w:hint="eastAsia" w:ascii="宋体" w:hAnsi="宋体" w:eastAsia="宋体" w:cs="宋体"/>
          <w:color w:val="000000"/>
          <w:sz w:val="28"/>
          <w:szCs w:val="28"/>
          <w:lang w:eastAsia="zh-CN"/>
        </w:rPr>
        <w:t>绩效评价评分表提供的绩效评价依据，不能作为其他用途。</w:t>
      </w:r>
    </w:p>
    <w:p>
      <w:pPr>
        <w:ind w:firstLine="560" w:firstLineChars="200"/>
        <w:rPr>
          <w:rFonts w:hint="eastAsia" w:asciiTheme="minorEastAsia" w:hAnsiTheme="minorEastAsia" w:eastAsiaTheme="minorEastAsia" w:cstheme="minorEastAsia"/>
          <w:sz w:val="28"/>
          <w:szCs w:val="28"/>
        </w:rPr>
      </w:pPr>
      <w:r>
        <w:rPr>
          <w:rFonts w:hint="eastAsia" w:ascii="宋体" w:hAnsi="宋体" w:eastAsia="宋体" w:cs="宋体"/>
          <w:sz w:val="28"/>
          <w:szCs w:val="28"/>
        </w:rPr>
        <w:t>以上因使用不当造成任何后果与本报告执业注册会计师及本事务所无关。</w:t>
      </w:r>
    </w:p>
    <w:p>
      <w:pPr>
        <w:spacing w:line="30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附件：</w:t>
      </w:r>
    </w:p>
    <w:p>
      <w:pPr>
        <w:ind w:firstLine="560" w:firstLineChars="20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highlight w:val="none"/>
        </w:rPr>
        <w:t>《</w:t>
      </w:r>
      <w:r>
        <w:rPr>
          <w:rFonts w:hint="eastAsia" w:asciiTheme="minorEastAsia" w:hAnsiTheme="minorEastAsia" w:eastAsiaTheme="minorEastAsia" w:cstheme="minorEastAsia"/>
          <w:sz w:val="28"/>
          <w:szCs w:val="28"/>
          <w:highlight w:val="none"/>
          <w:lang w:val="en-US" w:eastAsia="zh-CN"/>
        </w:rPr>
        <w:t>云溪区就业服务中心2022年度就业补助资金绩效评价指标体系</w:t>
      </w:r>
      <w:r>
        <w:rPr>
          <w:rFonts w:hint="eastAsia" w:asciiTheme="minorEastAsia" w:hAnsiTheme="minorEastAsia" w:eastAsiaTheme="minorEastAsia" w:cstheme="minorEastAsia"/>
          <w:sz w:val="28"/>
          <w:szCs w:val="28"/>
          <w:highlight w:val="none"/>
        </w:rPr>
        <w:t>》</w:t>
      </w:r>
    </w:p>
    <w:p>
      <w:pPr>
        <w:ind w:firstLine="560" w:firstLineChars="20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highlight w:val="none"/>
        </w:rPr>
        <w:t>《</w:t>
      </w:r>
      <w:r>
        <w:rPr>
          <w:rFonts w:hint="eastAsia" w:asciiTheme="minorEastAsia" w:hAnsiTheme="minorEastAsia" w:eastAsiaTheme="minorEastAsia" w:cstheme="minorEastAsia"/>
          <w:sz w:val="28"/>
          <w:szCs w:val="28"/>
          <w:highlight w:val="none"/>
          <w:lang w:val="en-US" w:eastAsia="zh-CN"/>
        </w:rPr>
        <w:t>云溪区就业服务中心2022年度就业补助资金绩效评分表</w:t>
      </w:r>
      <w:r>
        <w:rPr>
          <w:rFonts w:hint="eastAsia" w:asciiTheme="minorEastAsia" w:hAnsiTheme="minorEastAsia" w:eastAsiaTheme="minorEastAsia" w:cstheme="minorEastAsia"/>
          <w:sz w:val="28"/>
          <w:szCs w:val="28"/>
          <w:highlight w:val="none"/>
        </w:rPr>
        <w:t>》</w:t>
      </w:r>
    </w:p>
    <w:p>
      <w:pPr>
        <w:pStyle w:val="34"/>
        <w:ind w:firstLine="560"/>
        <w:rPr>
          <w:rFonts w:hint="default"/>
          <w:lang w:val="en-US" w:eastAsia="zh-CN"/>
        </w:rPr>
      </w:pPr>
    </w:p>
    <w:p>
      <w:pPr>
        <w:pStyle w:val="34"/>
        <w:ind w:firstLine="560"/>
        <w:rPr>
          <w:rFonts w:hint="default"/>
          <w:lang w:val="en-US" w:eastAsia="zh-CN"/>
        </w:rPr>
      </w:pPr>
    </w:p>
    <w:p>
      <w:pPr>
        <w:pStyle w:val="34"/>
        <w:ind w:firstLine="560"/>
        <w:rPr>
          <w:rFonts w:hint="default"/>
          <w:lang w:val="en-US" w:eastAsia="zh-CN"/>
        </w:rPr>
      </w:pPr>
    </w:p>
    <w:p>
      <w:pPr>
        <w:pStyle w:val="34"/>
        <w:ind w:firstLine="560"/>
        <w:rPr>
          <w:rFonts w:hint="default"/>
          <w:lang w:val="en-US" w:eastAsia="zh-CN"/>
        </w:rPr>
      </w:pPr>
    </w:p>
    <w:p>
      <w:pPr>
        <w:pStyle w:val="34"/>
        <w:ind w:firstLine="560"/>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900" w:lineRule="exact"/>
        <w:ind w:firstLine="4480" w:firstLineChars="1600"/>
        <w:textAlignment w:val="auto"/>
        <w:rPr>
          <w:rFonts w:hint="eastAsia" w:ascii="宋体" w:hAnsi="宋体" w:eastAsia="宋体" w:cs="宋体"/>
          <w:b w:val="0"/>
          <w:bCs w:val="0"/>
          <w:kern w:val="2"/>
          <w:sz w:val="28"/>
          <w:szCs w:val="28"/>
          <w:highlight w:val="none"/>
          <w:lang w:val="en-US" w:eastAsia="zh-CN" w:bidi="ar-SA"/>
        </w:rPr>
      </w:pPr>
      <w:r>
        <w:rPr>
          <w:rFonts w:hint="eastAsia" w:ascii="宋体" w:hAnsi="宋体" w:eastAsia="宋体" w:cs="宋体"/>
          <w:b w:val="0"/>
          <w:bCs w:val="0"/>
          <w:kern w:val="2"/>
          <w:sz w:val="28"/>
          <w:szCs w:val="28"/>
          <w:highlight w:val="none"/>
          <w:lang w:val="en-US" w:eastAsia="zh-CN" w:bidi="ar-SA"/>
        </w:rPr>
        <w:t xml:space="preserve">湖南公众会计师事务所有限公司      </w:t>
      </w:r>
    </w:p>
    <w:p>
      <w:pPr>
        <w:rPr>
          <w:rFonts w:hint="eastAsia" w:ascii="宋体" w:hAnsi="宋体" w:eastAsia="宋体" w:cs="宋体"/>
          <w:b/>
          <w:sz w:val="30"/>
          <w:szCs w:val="30"/>
          <w:lang w:eastAsia="zh-CN"/>
        </w:rPr>
      </w:pPr>
      <w:r>
        <w:rPr>
          <w:rFonts w:hint="eastAsia" w:asciiTheme="minorEastAsia" w:hAnsiTheme="minorEastAsia" w:eastAsiaTheme="minorEastAsia" w:cstheme="minorEastAsia"/>
          <w:b/>
          <w:color w:val="000000"/>
          <w:kern w:val="0"/>
          <w:sz w:val="28"/>
          <w:szCs w:val="28"/>
          <w:lang w:val="en-US" w:eastAsia="zh-CN"/>
        </w:rPr>
        <w:t xml:space="preserve">                              </w:t>
      </w:r>
      <w:r>
        <w:rPr>
          <w:rFonts w:hint="eastAsia" w:ascii="宋体" w:hAnsi="宋体" w:eastAsia="宋体" w:cs="宋体"/>
          <w:b w:val="0"/>
          <w:bCs w:val="0"/>
          <w:kern w:val="2"/>
          <w:sz w:val="28"/>
          <w:szCs w:val="28"/>
          <w:highlight w:val="none"/>
          <w:lang w:val="en-US" w:eastAsia="zh-CN" w:bidi="ar-SA"/>
        </w:rPr>
        <w:t xml:space="preserve">      202</w:t>
      </w:r>
      <w:r>
        <w:rPr>
          <w:rFonts w:hint="eastAsia" w:ascii="宋体" w:hAnsi="宋体" w:cs="宋体"/>
          <w:b w:val="0"/>
          <w:bCs w:val="0"/>
          <w:kern w:val="2"/>
          <w:sz w:val="28"/>
          <w:szCs w:val="28"/>
          <w:highlight w:val="none"/>
          <w:lang w:val="en-US" w:eastAsia="zh-CN" w:bidi="ar-SA"/>
        </w:rPr>
        <w:t>3</w:t>
      </w:r>
      <w:r>
        <w:rPr>
          <w:rFonts w:hint="eastAsia" w:ascii="宋体" w:hAnsi="宋体" w:eastAsia="宋体" w:cs="宋体"/>
          <w:b w:val="0"/>
          <w:bCs w:val="0"/>
          <w:kern w:val="2"/>
          <w:sz w:val="28"/>
          <w:szCs w:val="28"/>
          <w:highlight w:val="none"/>
          <w:lang w:val="en-US" w:eastAsia="zh-CN" w:bidi="ar-SA"/>
        </w:rPr>
        <w:t>年</w:t>
      </w:r>
      <w:r>
        <w:rPr>
          <w:rFonts w:hint="eastAsia" w:ascii="宋体" w:hAnsi="宋体" w:cs="宋体"/>
          <w:b w:val="0"/>
          <w:bCs w:val="0"/>
          <w:kern w:val="2"/>
          <w:sz w:val="28"/>
          <w:szCs w:val="28"/>
          <w:highlight w:val="none"/>
          <w:lang w:val="en-US" w:eastAsia="zh-CN" w:bidi="ar-SA"/>
        </w:rPr>
        <w:t>9</w:t>
      </w:r>
      <w:r>
        <w:rPr>
          <w:rFonts w:hint="eastAsia" w:ascii="宋体" w:hAnsi="宋体" w:eastAsia="宋体" w:cs="宋体"/>
          <w:b w:val="0"/>
          <w:bCs w:val="0"/>
          <w:kern w:val="2"/>
          <w:sz w:val="28"/>
          <w:szCs w:val="28"/>
          <w:highlight w:val="none"/>
          <w:lang w:val="en-US" w:eastAsia="zh-CN" w:bidi="ar-SA"/>
        </w:rPr>
        <w:t>月</w:t>
      </w:r>
      <w:r>
        <w:rPr>
          <w:rFonts w:hint="eastAsia" w:ascii="宋体" w:hAnsi="宋体" w:cs="宋体"/>
          <w:b w:val="0"/>
          <w:bCs w:val="0"/>
          <w:kern w:val="2"/>
          <w:sz w:val="28"/>
          <w:szCs w:val="28"/>
          <w:highlight w:val="none"/>
          <w:lang w:val="en-US" w:eastAsia="zh-CN" w:bidi="ar-SA"/>
        </w:rPr>
        <w:t>5</w:t>
      </w:r>
      <w:r>
        <w:rPr>
          <w:rFonts w:hint="eastAsia" w:ascii="宋体" w:hAnsi="宋体" w:eastAsia="宋体" w:cs="宋体"/>
          <w:b w:val="0"/>
          <w:bCs w:val="0"/>
          <w:kern w:val="2"/>
          <w:sz w:val="28"/>
          <w:szCs w:val="28"/>
          <w:highlight w:val="none"/>
          <w:lang w:val="en-US" w:eastAsia="zh-CN" w:bidi="ar-SA"/>
        </w:rPr>
        <w:t>日</w:t>
      </w:r>
    </w:p>
    <w:p>
      <w:pPr>
        <w:rPr>
          <w:rFonts w:hint="eastAsia" w:asciiTheme="minorEastAsia" w:hAnsiTheme="minorEastAsia" w:eastAsiaTheme="minorEastAsia" w:cstheme="minorEastAsia"/>
          <w:b/>
          <w:color w:val="000000"/>
          <w:kern w:val="0"/>
          <w:sz w:val="28"/>
          <w:szCs w:val="28"/>
        </w:rPr>
      </w:pPr>
    </w:p>
    <w:sectPr>
      <w:footerReference r:id="rId8" w:type="first"/>
      <w:headerReference r:id="rId6" w:type="default"/>
      <w:footerReference r:id="rId7" w:type="default"/>
      <w:pgSz w:w="11906" w:h="16838"/>
      <w:pgMar w:top="1440" w:right="1644" w:bottom="1247" w:left="1644"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right"/>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right"/>
    </w:pPr>
    <w:r>
      <w:rPr>
        <w:rFonts w:hint="eastAsia"/>
        <w:b/>
        <w:bCs/>
      </w:rPr>
      <w:t xml:space="preserve">  </w:t>
    </w:r>
    <w:r>
      <w:rPr>
        <w:rFonts w:hint="eastAsia" w:eastAsia="仿宋"/>
        <w:b/>
        <w:bCs/>
      </w:rPr>
      <w:t xml:space="preserve">湖 南 </w:t>
    </w:r>
    <w:r>
      <w:rPr>
        <w:rFonts w:hint="eastAsia" w:eastAsia="仿宋"/>
        <w:b/>
        <w:bCs/>
        <w:lang w:val="en-US" w:eastAsia="zh-CN"/>
      </w:rPr>
      <w:t>公 众 会 计 师 事 务 所 有 限 公 司</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right"/>
      <w:rPr>
        <w:rFonts w:hint="eastAsia"/>
      </w:rPr>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0"/>
                            <w:jc w:val="right"/>
                          </w:pPr>
                          <w:r>
                            <w:rPr>
                              <w:rFonts w:hint="eastAsia"/>
                              <w:b/>
                              <w:bCs/>
                            </w:rPr>
                            <w:t xml:space="preserve">                </w:t>
                          </w:r>
                          <w:r>
                            <w:rPr>
                              <w:rFonts w:hint="eastAsia" w:eastAsia="仿宋"/>
                              <w:b/>
                              <w:bCs/>
                            </w:rPr>
                            <w:t>湖 南 恒 兴 联 合 会 计 师 事 务 所</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20"/>
                      <w:jc w:val="right"/>
                    </w:pPr>
                    <w:r>
                      <w:rPr>
                        <w:rFonts w:hint="eastAsia"/>
                        <w:b/>
                        <w:bCs/>
                      </w:rPr>
                      <w:t xml:space="preserve">                </w:t>
                    </w:r>
                    <w:r>
                      <w:rPr>
                        <w:rFonts w:hint="eastAsia" w:eastAsia="仿宋"/>
                        <w:b/>
                        <w:bCs/>
                      </w:rPr>
                      <w:t>湖 南 恒 兴 联 合 会 计 师 事 务 所</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single" w:color="auto" w:sz="4" w:space="0"/>
      </w:pBdr>
      <w:jc w:val="right"/>
      <w:rPr>
        <w:rFonts w:hint="eastAsia" w:ascii="楷体" w:hAnsi="楷体" w:eastAsia="楷体" w:cs="楷体"/>
        <w:b/>
      </w:rPr>
    </w:pPr>
    <w:r>
      <w:rPr>
        <w:rFonts w:hint="eastAsia" w:ascii="楷体" w:hAnsi="楷体" w:eastAsia="楷体" w:cs="楷体"/>
        <w:b/>
      </w:rPr>
      <w:t xml:space="preserve">                                       岳阳市</w:t>
    </w:r>
    <w:r>
      <w:rPr>
        <w:rFonts w:hint="eastAsia" w:ascii="楷体" w:hAnsi="楷体" w:eastAsia="楷体" w:cs="楷体"/>
        <w:b/>
        <w:lang w:eastAsia="zh-CN"/>
      </w:rPr>
      <w:t>湘阴县扶贫办前期工作经费专项支出项目</w:t>
    </w:r>
    <w:r>
      <w:rPr>
        <w:rFonts w:hint="eastAsia" w:ascii="楷体" w:hAnsi="楷体" w:eastAsia="楷体" w:cs="楷体"/>
        <w:b/>
      </w:rPr>
      <w:t>绩效评价报告书</w:t>
    </w:r>
  </w:p>
  <w:p>
    <w:pPr>
      <w:pStyle w:val="21"/>
      <w:pBdr>
        <w:bottom w:val="none" w:color="auto" w:sz="0" w:space="0"/>
      </w:pBdr>
    </w:pPr>
  </w:p>
  <w:p>
    <w:pPr>
      <w:pStyle w:val="21"/>
      <w:pBdr>
        <w:bottom w:val="none" w:color="auto" w:sz="0" w:space="0"/>
      </w:pBdr>
      <w:jc w:val="right"/>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0"/>
      </w:pBdr>
      <w:ind w:right="360"/>
      <w:rPr>
        <w:rFonts w:hint="eastAsia" w:ascii="楷体" w:hAnsi="楷体" w:eastAsia="楷体" w:cs="楷体"/>
        <w:b/>
      </w:rPr>
    </w:pPr>
    <w:r>
      <w:rPr>
        <w:rFonts w:hint="eastAsia" w:ascii="楷体" w:hAnsi="楷体" w:eastAsia="楷体" w:cs="楷体"/>
        <w:b/>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single" w:color="auto" w:sz="4" w:space="0"/>
      </w:pBdr>
      <w:jc w:val="right"/>
      <w:rPr>
        <w:rFonts w:hint="eastAsia" w:ascii="楷体" w:hAnsi="楷体" w:eastAsia="楷体" w:cs="楷体"/>
        <w:b/>
      </w:rPr>
    </w:pPr>
    <w:r>
      <w:rPr>
        <w:rFonts w:hint="eastAsia" w:ascii="楷体" w:hAnsi="楷体" w:eastAsia="楷体" w:cs="楷体"/>
        <w:b/>
      </w:rPr>
      <w:t xml:space="preserve">                          </w:t>
    </w:r>
    <w:r>
      <w:rPr>
        <w:rFonts w:hint="eastAsia" w:ascii="楷体" w:hAnsi="楷体" w:eastAsia="楷体" w:cs="楷体"/>
        <w:b/>
        <w:lang w:eastAsia="zh-CN"/>
      </w:rPr>
      <w:t xml:space="preserve">  </w:t>
    </w:r>
    <w:r>
      <w:rPr>
        <w:rFonts w:hint="eastAsia" w:ascii="楷体" w:hAnsi="楷体" w:eastAsia="楷体" w:cs="楷体"/>
        <w:b/>
        <w:lang w:val="en-US" w:eastAsia="zh-CN"/>
      </w:rPr>
      <w:t>云溪区就业服务中心</w:t>
    </w:r>
    <w:r>
      <w:rPr>
        <w:rFonts w:hint="eastAsia" w:ascii="楷体" w:hAnsi="楷体" w:eastAsia="楷体" w:cs="楷体"/>
        <w:b/>
        <w:lang w:eastAsia="zh-CN"/>
      </w:rPr>
      <w:t>2022年度</w:t>
    </w:r>
    <w:r>
      <w:rPr>
        <w:rFonts w:hint="eastAsia" w:ascii="楷体" w:hAnsi="楷体" w:eastAsia="楷体" w:cs="楷体"/>
        <w:b/>
        <w:lang w:val="en-US" w:eastAsia="zh-CN"/>
      </w:rPr>
      <w:t>就业补助资金</w:t>
    </w:r>
    <w:r>
      <w:rPr>
        <w:rFonts w:hint="eastAsia" w:ascii="楷体" w:hAnsi="楷体" w:eastAsia="楷体" w:cs="楷体"/>
        <w:b/>
      </w:rPr>
      <w:t>绩效评价报告书</w:t>
    </w:r>
  </w:p>
  <w:p>
    <w:pPr>
      <w:pStyle w:val="21"/>
      <w:pBdr>
        <w:bottom w:val="none" w:color="auto" w:sz="0" w:space="0"/>
      </w:pBdr>
    </w:pPr>
  </w:p>
  <w:p>
    <w:pPr>
      <w:pStyle w:val="21"/>
      <w:pBdr>
        <w:bottom w:val="none" w:color="auto" w:sz="0" w:space="0"/>
      </w:pBdr>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ACBD60B"/>
    <w:multiLevelType w:val="singleLevel"/>
    <w:tmpl w:val="AACBD60B"/>
    <w:lvl w:ilvl="0" w:tentative="0">
      <w:start w:val="1"/>
      <w:numFmt w:val="decimal"/>
      <w:suff w:val="nothing"/>
      <w:lvlText w:val="%1、"/>
      <w:lvlJc w:val="left"/>
    </w:lvl>
  </w:abstractNum>
  <w:abstractNum w:abstractNumId="1">
    <w:nsid w:val="1957D202"/>
    <w:multiLevelType w:val="singleLevel"/>
    <w:tmpl w:val="1957D202"/>
    <w:lvl w:ilvl="0" w:tentative="0">
      <w:start w:val="1"/>
      <w:numFmt w:val="decimal"/>
      <w:suff w:val="nothing"/>
      <w:lvlText w:val="（%1）"/>
      <w:lvlJc w:val="left"/>
    </w:lvl>
  </w:abstractNum>
  <w:abstractNum w:abstractNumId="2">
    <w:nsid w:val="1F44254B"/>
    <w:multiLevelType w:val="multilevel"/>
    <w:tmpl w:val="1F44254B"/>
    <w:lvl w:ilvl="0" w:tentative="0">
      <w:start w:val="2"/>
      <w:numFmt w:val="decimal"/>
      <w:pStyle w:val="6"/>
      <w:lvlText w:val="%1"/>
      <w:lvlJc w:val="left"/>
      <w:pPr>
        <w:tabs>
          <w:tab w:val="left" w:pos="1282"/>
        </w:tabs>
        <w:ind w:left="1282" w:hanging="432"/>
      </w:pPr>
      <w:rPr>
        <w:rFonts w:hint="eastAsia"/>
      </w:rPr>
    </w:lvl>
    <w:lvl w:ilvl="1" w:tentative="0">
      <w:start w:val="1"/>
      <w:numFmt w:val="decimal"/>
      <w:pStyle w:val="7"/>
      <w:lvlText w:val="%2"/>
      <w:lvlJc w:val="left"/>
      <w:pPr>
        <w:tabs>
          <w:tab w:val="left" w:pos="1426"/>
        </w:tabs>
        <w:ind w:left="1426" w:hanging="576"/>
      </w:pPr>
      <w:rPr>
        <w:rFonts w:ascii="Times New Roman" w:hAnsi="Times New Roman" w:eastAsia="Times New Roman" w:cs="Times New Roman"/>
      </w:rPr>
    </w:lvl>
    <w:lvl w:ilvl="2" w:tentative="0">
      <w:start w:val="1"/>
      <w:numFmt w:val="decimal"/>
      <w:pStyle w:val="8"/>
      <w:lvlText w:val="%1.%2.%3"/>
      <w:lvlJc w:val="left"/>
      <w:pPr>
        <w:tabs>
          <w:tab w:val="left" w:pos="1570"/>
        </w:tabs>
        <w:ind w:left="1570" w:hanging="720"/>
      </w:pPr>
      <w:rPr>
        <w:rFonts w:hint="eastAsia"/>
      </w:rPr>
    </w:lvl>
    <w:lvl w:ilvl="3" w:tentative="0">
      <w:start w:val="1"/>
      <w:numFmt w:val="decimal"/>
      <w:pStyle w:val="9"/>
      <w:lvlText w:val="%1.%2.%3.%4"/>
      <w:lvlJc w:val="left"/>
      <w:pPr>
        <w:tabs>
          <w:tab w:val="left" w:pos="1714"/>
        </w:tabs>
        <w:ind w:left="1714" w:hanging="864"/>
      </w:pPr>
      <w:rPr>
        <w:rFonts w:hint="eastAsia"/>
      </w:rPr>
    </w:lvl>
    <w:lvl w:ilvl="4" w:tentative="0">
      <w:start w:val="1"/>
      <w:numFmt w:val="decimal"/>
      <w:pStyle w:val="10"/>
      <w:lvlText w:val="%1.%2.%3.%4.%5"/>
      <w:lvlJc w:val="left"/>
      <w:pPr>
        <w:tabs>
          <w:tab w:val="left" w:pos="1858"/>
        </w:tabs>
        <w:ind w:left="1858" w:hanging="1008"/>
      </w:pPr>
      <w:rPr>
        <w:rFonts w:hint="eastAsia"/>
      </w:rPr>
    </w:lvl>
    <w:lvl w:ilvl="5" w:tentative="0">
      <w:start w:val="1"/>
      <w:numFmt w:val="decimal"/>
      <w:pStyle w:val="11"/>
      <w:isLgl/>
      <w:lvlText w:val="%1.%2.%3.%4.%5.%6"/>
      <w:lvlJc w:val="left"/>
      <w:pPr>
        <w:tabs>
          <w:tab w:val="left" w:pos="2002"/>
        </w:tabs>
        <w:ind w:left="2002" w:hanging="1152"/>
      </w:pPr>
      <w:rPr>
        <w:rFonts w:hint="eastAsia"/>
      </w:rPr>
    </w:lvl>
    <w:lvl w:ilvl="6" w:tentative="0">
      <w:start w:val="1"/>
      <w:numFmt w:val="decimal"/>
      <w:pStyle w:val="12"/>
      <w:lvlText w:val="%1.%2.%3.%4.%5.%6.%7"/>
      <w:lvlJc w:val="left"/>
      <w:pPr>
        <w:tabs>
          <w:tab w:val="left" w:pos="2146"/>
        </w:tabs>
        <w:ind w:left="2146" w:hanging="1296"/>
      </w:pPr>
      <w:rPr>
        <w:rFonts w:hint="eastAsia"/>
      </w:rPr>
    </w:lvl>
    <w:lvl w:ilvl="7" w:tentative="0">
      <w:start w:val="1"/>
      <w:numFmt w:val="decimal"/>
      <w:pStyle w:val="13"/>
      <w:lvlText w:val="%1.%2.%3.%4.%5.%6.%7.%8"/>
      <w:lvlJc w:val="left"/>
      <w:pPr>
        <w:tabs>
          <w:tab w:val="left" w:pos="2290"/>
        </w:tabs>
        <w:ind w:left="2290" w:hanging="1440"/>
      </w:pPr>
      <w:rPr>
        <w:rFonts w:hint="eastAsia"/>
      </w:rPr>
    </w:lvl>
    <w:lvl w:ilvl="8" w:tentative="0">
      <w:start w:val="1"/>
      <w:numFmt w:val="decimal"/>
      <w:pStyle w:val="14"/>
      <w:lvlText w:val="%1.%2.%3.%4.%5.%6.%7.%8.%9"/>
      <w:lvlJc w:val="left"/>
      <w:pPr>
        <w:tabs>
          <w:tab w:val="left" w:pos="2434"/>
        </w:tabs>
        <w:ind w:left="2434" w:hanging="1584"/>
      </w:pPr>
      <w:rPr>
        <w:rFonts w:hint="eastAsia"/>
      </w:rPr>
    </w:lvl>
  </w:abstractNum>
  <w:abstractNum w:abstractNumId="3">
    <w:nsid w:val="5283FED4"/>
    <w:multiLevelType w:val="singleLevel"/>
    <w:tmpl w:val="5283FED4"/>
    <w:lvl w:ilvl="0" w:tentative="0">
      <w:start w:val="4"/>
      <w:numFmt w:val="chineseCounting"/>
      <w:suff w:val="nothing"/>
      <w:lvlText w:val="%1、"/>
      <w:lvlJc w:val="left"/>
      <w:rPr>
        <w:rFonts w:hint="eastAsia"/>
      </w:rPr>
    </w:lvl>
  </w:abstractNum>
  <w:abstractNum w:abstractNumId="4">
    <w:nsid w:val="7E050B2D"/>
    <w:multiLevelType w:val="singleLevel"/>
    <w:tmpl w:val="7E050B2D"/>
    <w:lvl w:ilvl="0" w:tentative="0">
      <w:start w:val="2"/>
      <w:numFmt w:val="decimal"/>
      <w:suff w:val="nothing"/>
      <w:lvlText w:val="%1、"/>
      <w:lvlJc w:val="left"/>
      <w:rPr>
        <w:rFonts w:hint="default"/>
        <w:b/>
        <w:bCs/>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VlMmU3NmE5YmMzZDVhY2ViNzE3Y2E1MjIxYjI5OTAifQ=="/>
  </w:docVars>
  <w:rsids>
    <w:rsidRoot w:val="007E7EF4"/>
    <w:rsid w:val="00001BAD"/>
    <w:rsid w:val="00002DD4"/>
    <w:rsid w:val="000061D5"/>
    <w:rsid w:val="00014334"/>
    <w:rsid w:val="000147E3"/>
    <w:rsid w:val="000151F4"/>
    <w:rsid w:val="00015653"/>
    <w:rsid w:val="0001616A"/>
    <w:rsid w:val="00016D4D"/>
    <w:rsid w:val="00017C53"/>
    <w:rsid w:val="00020C6B"/>
    <w:rsid w:val="00027D64"/>
    <w:rsid w:val="00030D88"/>
    <w:rsid w:val="00031596"/>
    <w:rsid w:val="0003454F"/>
    <w:rsid w:val="00036DED"/>
    <w:rsid w:val="00040F19"/>
    <w:rsid w:val="00042217"/>
    <w:rsid w:val="00042297"/>
    <w:rsid w:val="00043444"/>
    <w:rsid w:val="0004445F"/>
    <w:rsid w:val="000451C3"/>
    <w:rsid w:val="00052F5B"/>
    <w:rsid w:val="0005325E"/>
    <w:rsid w:val="00054F53"/>
    <w:rsid w:val="000601D9"/>
    <w:rsid w:val="0006024F"/>
    <w:rsid w:val="00060A3F"/>
    <w:rsid w:val="00063E36"/>
    <w:rsid w:val="00064CFE"/>
    <w:rsid w:val="00065042"/>
    <w:rsid w:val="000676E1"/>
    <w:rsid w:val="000719AB"/>
    <w:rsid w:val="00072A52"/>
    <w:rsid w:val="00072DBD"/>
    <w:rsid w:val="000736A5"/>
    <w:rsid w:val="00074978"/>
    <w:rsid w:val="000754E9"/>
    <w:rsid w:val="000778D0"/>
    <w:rsid w:val="00077D3E"/>
    <w:rsid w:val="00083D09"/>
    <w:rsid w:val="00083F35"/>
    <w:rsid w:val="00084EBA"/>
    <w:rsid w:val="00085369"/>
    <w:rsid w:val="00087680"/>
    <w:rsid w:val="00090B0B"/>
    <w:rsid w:val="00091E62"/>
    <w:rsid w:val="00095994"/>
    <w:rsid w:val="00095B6D"/>
    <w:rsid w:val="000A0066"/>
    <w:rsid w:val="000A0B91"/>
    <w:rsid w:val="000A12C9"/>
    <w:rsid w:val="000A20CF"/>
    <w:rsid w:val="000A2820"/>
    <w:rsid w:val="000A49CB"/>
    <w:rsid w:val="000A5245"/>
    <w:rsid w:val="000A7ED2"/>
    <w:rsid w:val="000B244E"/>
    <w:rsid w:val="000B25B0"/>
    <w:rsid w:val="000B4F32"/>
    <w:rsid w:val="000B66CF"/>
    <w:rsid w:val="000C0761"/>
    <w:rsid w:val="000C5D38"/>
    <w:rsid w:val="000C6808"/>
    <w:rsid w:val="000C74F8"/>
    <w:rsid w:val="000D408B"/>
    <w:rsid w:val="000D4AC5"/>
    <w:rsid w:val="000D4B6D"/>
    <w:rsid w:val="000D5676"/>
    <w:rsid w:val="000D6B91"/>
    <w:rsid w:val="000E0157"/>
    <w:rsid w:val="000E1BB8"/>
    <w:rsid w:val="000E2663"/>
    <w:rsid w:val="000E26AD"/>
    <w:rsid w:val="000E3503"/>
    <w:rsid w:val="000E36B6"/>
    <w:rsid w:val="000E4D57"/>
    <w:rsid w:val="000E65BF"/>
    <w:rsid w:val="000F4F7F"/>
    <w:rsid w:val="000F768C"/>
    <w:rsid w:val="000F7FCD"/>
    <w:rsid w:val="00101D97"/>
    <w:rsid w:val="00102774"/>
    <w:rsid w:val="001116C7"/>
    <w:rsid w:val="00111AA7"/>
    <w:rsid w:val="00113671"/>
    <w:rsid w:val="00114E83"/>
    <w:rsid w:val="00117206"/>
    <w:rsid w:val="001179BA"/>
    <w:rsid w:val="001238C5"/>
    <w:rsid w:val="00123BAA"/>
    <w:rsid w:val="001247BA"/>
    <w:rsid w:val="001249FB"/>
    <w:rsid w:val="00124CF2"/>
    <w:rsid w:val="00124FA6"/>
    <w:rsid w:val="00126A28"/>
    <w:rsid w:val="00130473"/>
    <w:rsid w:val="00134047"/>
    <w:rsid w:val="0013468E"/>
    <w:rsid w:val="001347E6"/>
    <w:rsid w:val="001351A7"/>
    <w:rsid w:val="00135587"/>
    <w:rsid w:val="001359EC"/>
    <w:rsid w:val="00135D15"/>
    <w:rsid w:val="0013658E"/>
    <w:rsid w:val="001402A6"/>
    <w:rsid w:val="00143293"/>
    <w:rsid w:val="00144354"/>
    <w:rsid w:val="00150D7C"/>
    <w:rsid w:val="00151A1C"/>
    <w:rsid w:val="00161589"/>
    <w:rsid w:val="00161A69"/>
    <w:rsid w:val="001650C6"/>
    <w:rsid w:val="00166DC6"/>
    <w:rsid w:val="00174AB0"/>
    <w:rsid w:val="001830FA"/>
    <w:rsid w:val="00185A13"/>
    <w:rsid w:val="00185E10"/>
    <w:rsid w:val="00186338"/>
    <w:rsid w:val="00190E19"/>
    <w:rsid w:val="00194128"/>
    <w:rsid w:val="00195428"/>
    <w:rsid w:val="00195C89"/>
    <w:rsid w:val="00195FA3"/>
    <w:rsid w:val="00196C53"/>
    <w:rsid w:val="00197865"/>
    <w:rsid w:val="001A31B9"/>
    <w:rsid w:val="001A4269"/>
    <w:rsid w:val="001A44F4"/>
    <w:rsid w:val="001A45C6"/>
    <w:rsid w:val="001A4E86"/>
    <w:rsid w:val="001A6CD0"/>
    <w:rsid w:val="001B11C3"/>
    <w:rsid w:val="001B121A"/>
    <w:rsid w:val="001B16D8"/>
    <w:rsid w:val="001B4858"/>
    <w:rsid w:val="001C0537"/>
    <w:rsid w:val="001C255F"/>
    <w:rsid w:val="001C3D2E"/>
    <w:rsid w:val="001C53CA"/>
    <w:rsid w:val="001C7E4E"/>
    <w:rsid w:val="001D004C"/>
    <w:rsid w:val="001D2B9F"/>
    <w:rsid w:val="001D5DF3"/>
    <w:rsid w:val="001D7558"/>
    <w:rsid w:val="001E1C3B"/>
    <w:rsid w:val="001E2C7B"/>
    <w:rsid w:val="001E3282"/>
    <w:rsid w:val="001E4920"/>
    <w:rsid w:val="001F060C"/>
    <w:rsid w:val="001F0BD4"/>
    <w:rsid w:val="001F2519"/>
    <w:rsid w:val="001F43C4"/>
    <w:rsid w:val="00205E83"/>
    <w:rsid w:val="00212494"/>
    <w:rsid w:val="0021466E"/>
    <w:rsid w:val="00214CA0"/>
    <w:rsid w:val="0021508F"/>
    <w:rsid w:val="00216545"/>
    <w:rsid w:val="002241B3"/>
    <w:rsid w:val="0022679A"/>
    <w:rsid w:val="00226B1C"/>
    <w:rsid w:val="0023056B"/>
    <w:rsid w:val="00230688"/>
    <w:rsid w:val="002312B9"/>
    <w:rsid w:val="0023131C"/>
    <w:rsid w:val="0023705F"/>
    <w:rsid w:val="00240A68"/>
    <w:rsid w:val="002420EF"/>
    <w:rsid w:val="00242E01"/>
    <w:rsid w:val="00251BF2"/>
    <w:rsid w:val="00252FAB"/>
    <w:rsid w:val="00254EBC"/>
    <w:rsid w:val="00255562"/>
    <w:rsid w:val="00260FDC"/>
    <w:rsid w:val="002613CA"/>
    <w:rsid w:val="002614FE"/>
    <w:rsid w:val="00262111"/>
    <w:rsid w:val="0026292E"/>
    <w:rsid w:val="00264E02"/>
    <w:rsid w:val="00266F31"/>
    <w:rsid w:val="00267091"/>
    <w:rsid w:val="002708BA"/>
    <w:rsid w:val="00270B2A"/>
    <w:rsid w:val="00272D94"/>
    <w:rsid w:val="0028464C"/>
    <w:rsid w:val="00284A29"/>
    <w:rsid w:val="00286A5E"/>
    <w:rsid w:val="002905B6"/>
    <w:rsid w:val="00290B1B"/>
    <w:rsid w:val="00290E2C"/>
    <w:rsid w:val="0029121B"/>
    <w:rsid w:val="00291F2F"/>
    <w:rsid w:val="00295562"/>
    <w:rsid w:val="00296C9D"/>
    <w:rsid w:val="00297773"/>
    <w:rsid w:val="002A03FD"/>
    <w:rsid w:val="002A1E8B"/>
    <w:rsid w:val="002A312E"/>
    <w:rsid w:val="002B1906"/>
    <w:rsid w:val="002B2778"/>
    <w:rsid w:val="002B462E"/>
    <w:rsid w:val="002B5197"/>
    <w:rsid w:val="002B5211"/>
    <w:rsid w:val="002B5EC8"/>
    <w:rsid w:val="002B6001"/>
    <w:rsid w:val="002B61E2"/>
    <w:rsid w:val="002B7E7E"/>
    <w:rsid w:val="002C030D"/>
    <w:rsid w:val="002C2728"/>
    <w:rsid w:val="002C3CE5"/>
    <w:rsid w:val="002C70A5"/>
    <w:rsid w:val="002C77AC"/>
    <w:rsid w:val="002D0239"/>
    <w:rsid w:val="002D1F1B"/>
    <w:rsid w:val="002D2AAD"/>
    <w:rsid w:val="002D3867"/>
    <w:rsid w:val="002D4271"/>
    <w:rsid w:val="002D4881"/>
    <w:rsid w:val="002D4F36"/>
    <w:rsid w:val="002D7D48"/>
    <w:rsid w:val="002E017E"/>
    <w:rsid w:val="002E44E3"/>
    <w:rsid w:val="002E4D2D"/>
    <w:rsid w:val="002E5BA1"/>
    <w:rsid w:val="002E6134"/>
    <w:rsid w:val="002F009F"/>
    <w:rsid w:val="002F362D"/>
    <w:rsid w:val="002F3A1F"/>
    <w:rsid w:val="002F3DDB"/>
    <w:rsid w:val="002F4045"/>
    <w:rsid w:val="002F6539"/>
    <w:rsid w:val="002F75AF"/>
    <w:rsid w:val="00300F25"/>
    <w:rsid w:val="003018D7"/>
    <w:rsid w:val="0030374E"/>
    <w:rsid w:val="00303AE3"/>
    <w:rsid w:val="00305058"/>
    <w:rsid w:val="00306D0B"/>
    <w:rsid w:val="00310019"/>
    <w:rsid w:val="00310245"/>
    <w:rsid w:val="003102A8"/>
    <w:rsid w:val="00312E58"/>
    <w:rsid w:val="00313AC0"/>
    <w:rsid w:val="00314EF2"/>
    <w:rsid w:val="00323C7A"/>
    <w:rsid w:val="0032454A"/>
    <w:rsid w:val="00334AD5"/>
    <w:rsid w:val="0033567F"/>
    <w:rsid w:val="00335853"/>
    <w:rsid w:val="003412B1"/>
    <w:rsid w:val="0034156D"/>
    <w:rsid w:val="00342C9D"/>
    <w:rsid w:val="00346453"/>
    <w:rsid w:val="0034781A"/>
    <w:rsid w:val="00350973"/>
    <w:rsid w:val="00351268"/>
    <w:rsid w:val="0035267C"/>
    <w:rsid w:val="003562DD"/>
    <w:rsid w:val="00356623"/>
    <w:rsid w:val="00361B3B"/>
    <w:rsid w:val="00364651"/>
    <w:rsid w:val="00367DE7"/>
    <w:rsid w:val="0037056E"/>
    <w:rsid w:val="00370AD1"/>
    <w:rsid w:val="003718E3"/>
    <w:rsid w:val="0037337E"/>
    <w:rsid w:val="0037345A"/>
    <w:rsid w:val="00374E22"/>
    <w:rsid w:val="00375F24"/>
    <w:rsid w:val="003764B7"/>
    <w:rsid w:val="00376B82"/>
    <w:rsid w:val="00377A93"/>
    <w:rsid w:val="00381E81"/>
    <w:rsid w:val="003832D8"/>
    <w:rsid w:val="00384BAC"/>
    <w:rsid w:val="00392417"/>
    <w:rsid w:val="00394F77"/>
    <w:rsid w:val="00397B02"/>
    <w:rsid w:val="00397B18"/>
    <w:rsid w:val="003A021A"/>
    <w:rsid w:val="003A041B"/>
    <w:rsid w:val="003A2E4D"/>
    <w:rsid w:val="003A37F4"/>
    <w:rsid w:val="003A472B"/>
    <w:rsid w:val="003A774B"/>
    <w:rsid w:val="003C0AF9"/>
    <w:rsid w:val="003C1408"/>
    <w:rsid w:val="003C3ADC"/>
    <w:rsid w:val="003C6C53"/>
    <w:rsid w:val="003C7220"/>
    <w:rsid w:val="003D03E6"/>
    <w:rsid w:val="003D1AA0"/>
    <w:rsid w:val="003D1DE6"/>
    <w:rsid w:val="003D33DE"/>
    <w:rsid w:val="003D393F"/>
    <w:rsid w:val="003D3981"/>
    <w:rsid w:val="003D61B7"/>
    <w:rsid w:val="003E2CB1"/>
    <w:rsid w:val="003E4AD2"/>
    <w:rsid w:val="003E5356"/>
    <w:rsid w:val="003E5761"/>
    <w:rsid w:val="003E6053"/>
    <w:rsid w:val="003F01CA"/>
    <w:rsid w:val="003F35BE"/>
    <w:rsid w:val="003F44F3"/>
    <w:rsid w:val="003F6AE8"/>
    <w:rsid w:val="0040060E"/>
    <w:rsid w:val="004008FA"/>
    <w:rsid w:val="00401491"/>
    <w:rsid w:val="00403DAF"/>
    <w:rsid w:val="00407AFC"/>
    <w:rsid w:val="00411875"/>
    <w:rsid w:val="00411CBA"/>
    <w:rsid w:val="0041266E"/>
    <w:rsid w:val="00412ECC"/>
    <w:rsid w:val="00413CCB"/>
    <w:rsid w:val="00414491"/>
    <w:rsid w:val="00415E5C"/>
    <w:rsid w:val="004228EF"/>
    <w:rsid w:val="0042334E"/>
    <w:rsid w:val="0042528E"/>
    <w:rsid w:val="004266B0"/>
    <w:rsid w:val="00427C5F"/>
    <w:rsid w:val="0043028A"/>
    <w:rsid w:val="00430CCA"/>
    <w:rsid w:val="004310A0"/>
    <w:rsid w:val="004310E3"/>
    <w:rsid w:val="00431835"/>
    <w:rsid w:val="004321F7"/>
    <w:rsid w:val="004335F1"/>
    <w:rsid w:val="004349B1"/>
    <w:rsid w:val="00436962"/>
    <w:rsid w:val="00437418"/>
    <w:rsid w:val="00437431"/>
    <w:rsid w:val="00440384"/>
    <w:rsid w:val="00440DE0"/>
    <w:rsid w:val="0044195D"/>
    <w:rsid w:val="00444E83"/>
    <w:rsid w:val="00447AB9"/>
    <w:rsid w:val="00450108"/>
    <w:rsid w:val="0045097D"/>
    <w:rsid w:val="00451A50"/>
    <w:rsid w:val="00452662"/>
    <w:rsid w:val="004559C2"/>
    <w:rsid w:val="00456249"/>
    <w:rsid w:val="0045674E"/>
    <w:rsid w:val="00456F5D"/>
    <w:rsid w:val="00460D68"/>
    <w:rsid w:val="00460E31"/>
    <w:rsid w:val="00466526"/>
    <w:rsid w:val="004731D7"/>
    <w:rsid w:val="004763AF"/>
    <w:rsid w:val="004765AA"/>
    <w:rsid w:val="004768D6"/>
    <w:rsid w:val="0047690D"/>
    <w:rsid w:val="0048138E"/>
    <w:rsid w:val="00483999"/>
    <w:rsid w:val="0048731E"/>
    <w:rsid w:val="00491186"/>
    <w:rsid w:val="004920F4"/>
    <w:rsid w:val="00492B45"/>
    <w:rsid w:val="004A047D"/>
    <w:rsid w:val="004A19E8"/>
    <w:rsid w:val="004A1CA0"/>
    <w:rsid w:val="004A30CA"/>
    <w:rsid w:val="004A3AB5"/>
    <w:rsid w:val="004A3B58"/>
    <w:rsid w:val="004A42CE"/>
    <w:rsid w:val="004B29B2"/>
    <w:rsid w:val="004B3EA3"/>
    <w:rsid w:val="004B55F0"/>
    <w:rsid w:val="004B5EC8"/>
    <w:rsid w:val="004B603D"/>
    <w:rsid w:val="004B6C56"/>
    <w:rsid w:val="004C28DA"/>
    <w:rsid w:val="004C2B53"/>
    <w:rsid w:val="004C5E83"/>
    <w:rsid w:val="004D131F"/>
    <w:rsid w:val="004D2464"/>
    <w:rsid w:val="004E224E"/>
    <w:rsid w:val="004E2BA4"/>
    <w:rsid w:val="004E2C38"/>
    <w:rsid w:val="004E3D79"/>
    <w:rsid w:val="004E484D"/>
    <w:rsid w:val="004F1B2A"/>
    <w:rsid w:val="004F20A1"/>
    <w:rsid w:val="004F28DA"/>
    <w:rsid w:val="004F32C2"/>
    <w:rsid w:val="00501C64"/>
    <w:rsid w:val="00503EFA"/>
    <w:rsid w:val="00505DD0"/>
    <w:rsid w:val="0050613A"/>
    <w:rsid w:val="005109E6"/>
    <w:rsid w:val="00511D0B"/>
    <w:rsid w:val="005130E0"/>
    <w:rsid w:val="00514636"/>
    <w:rsid w:val="005163E4"/>
    <w:rsid w:val="00520B2E"/>
    <w:rsid w:val="00521853"/>
    <w:rsid w:val="00522B73"/>
    <w:rsid w:val="0052472D"/>
    <w:rsid w:val="0052616D"/>
    <w:rsid w:val="0053029D"/>
    <w:rsid w:val="00535446"/>
    <w:rsid w:val="00536D9B"/>
    <w:rsid w:val="00540291"/>
    <w:rsid w:val="00540911"/>
    <w:rsid w:val="00543060"/>
    <w:rsid w:val="00543851"/>
    <w:rsid w:val="00543890"/>
    <w:rsid w:val="005464E6"/>
    <w:rsid w:val="00546639"/>
    <w:rsid w:val="005541BA"/>
    <w:rsid w:val="00554A23"/>
    <w:rsid w:val="00557C71"/>
    <w:rsid w:val="0056561F"/>
    <w:rsid w:val="00567804"/>
    <w:rsid w:val="00574F54"/>
    <w:rsid w:val="00577F98"/>
    <w:rsid w:val="005816D9"/>
    <w:rsid w:val="005917CA"/>
    <w:rsid w:val="00592A06"/>
    <w:rsid w:val="00593540"/>
    <w:rsid w:val="0059541B"/>
    <w:rsid w:val="00595C76"/>
    <w:rsid w:val="005962BF"/>
    <w:rsid w:val="005978A3"/>
    <w:rsid w:val="005A43C8"/>
    <w:rsid w:val="005A5E89"/>
    <w:rsid w:val="005A664B"/>
    <w:rsid w:val="005B11EF"/>
    <w:rsid w:val="005B45B9"/>
    <w:rsid w:val="005B4FC1"/>
    <w:rsid w:val="005B5639"/>
    <w:rsid w:val="005B56FD"/>
    <w:rsid w:val="005B594C"/>
    <w:rsid w:val="005B78F5"/>
    <w:rsid w:val="005C1D29"/>
    <w:rsid w:val="005C1DE1"/>
    <w:rsid w:val="005C242E"/>
    <w:rsid w:val="005C5631"/>
    <w:rsid w:val="005C6146"/>
    <w:rsid w:val="005C6390"/>
    <w:rsid w:val="005C7AE0"/>
    <w:rsid w:val="005D0375"/>
    <w:rsid w:val="005D08F3"/>
    <w:rsid w:val="005D4F4C"/>
    <w:rsid w:val="005D6222"/>
    <w:rsid w:val="005D674E"/>
    <w:rsid w:val="005D6D99"/>
    <w:rsid w:val="005D6FCD"/>
    <w:rsid w:val="005E1405"/>
    <w:rsid w:val="005E1824"/>
    <w:rsid w:val="005E33CC"/>
    <w:rsid w:val="005E498E"/>
    <w:rsid w:val="005E55FF"/>
    <w:rsid w:val="005F190C"/>
    <w:rsid w:val="005F2872"/>
    <w:rsid w:val="005F3C2F"/>
    <w:rsid w:val="005F48DD"/>
    <w:rsid w:val="005F4BD5"/>
    <w:rsid w:val="006002B2"/>
    <w:rsid w:val="00601164"/>
    <w:rsid w:val="006119A3"/>
    <w:rsid w:val="00613579"/>
    <w:rsid w:val="00615657"/>
    <w:rsid w:val="00620155"/>
    <w:rsid w:val="0063691A"/>
    <w:rsid w:val="00637427"/>
    <w:rsid w:val="00644C8F"/>
    <w:rsid w:val="00644E4A"/>
    <w:rsid w:val="006455E7"/>
    <w:rsid w:val="00647186"/>
    <w:rsid w:val="0065138E"/>
    <w:rsid w:val="006525D5"/>
    <w:rsid w:val="00652654"/>
    <w:rsid w:val="00653F24"/>
    <w:rsid w:val="006558AD"/>
    <w:rsid w:val="00656896"/>
    <w:rsid w:val="006574D6"/>
    <w:rsid w:val="006578B7"/>
    <w:rsid w:val="00661E4B"/>
    <w:rsid w:val="006658D9"/>
    <w:rsid w:val="0067309A"/>
    <w:rsid w:val="00673AAC"/>
    <w:rsid w:val="0067640A"/>
    <w:rsid w:val="00676996"/>
    <w:rsid w:val="00676B86"/>
    <w:rsid w:val="006775E4"/>
    <w:rsid w:val="00680415"/>
    <w:rsid w:val="00680BF4"/>
    <w:rsid w:val="006864DF"/>
    <w:rsid w:val="0069154F"/>
    <w:rsid w:val="00691D57"/>
    <w:rsid w:val="00691E60"/>
    <w:rsid w:val="00693363"/>
    <w:rsid w:val="006937FC"/>
    <w:rsid w:val="006969F7"/>
    <w:rsid w:val="006A458D"/>
    <w:rsid w:val="006A5EA4"/>
    <w:rsid w:val="006A7713"/>
    <w:rsid w:val="006A7E2A"/>
    <w:rsid w:val="006B3503"/>
    <w:rsid w:val="006B4076"/>
    <w:rsid w:val="006B48FC"/>
    <w:rsid w:val="006B68C4"/>
    <w:rsid w:val="006C02DB"/>
    <w:rsid w:val="006C326A"/>
    <w:rsid w:val="006C3A1D"/>
    <w:rsid w:val="006C489E"/>
    <w:rsid w:val="006C4DA9"/>
    <w:rsid w:val="006C4FC5"/>
    <w:rsid w:val="006C570A"/>
    <w:rsid w:val="006D6B79"/>
    <w:rsid w:val="006D7829"/>
    <w:rsid w:val="006E30ED"/>
    <w:rsid w:val="006E3982"/>
    <w:rsid w:val="006E44B1"/>
    <w:rsid w:val="006E46B2"/>
    <w:rsid w:val="006E4788"/>
    <w:rsid w:val="006E4A63"/>
    <w:rsid w:val="006E6187"/>
    <w:rsid w:val="006E7F58"/>
    <w:rsid w:val="006F07BF"/>
    <w:rsid w:val="006F07CD"/>
    <w:rsid w:val="006F26C1"/>
    <w:rsid w:val="006F2972"/>
    <w:rsid w:val="006F3F0F"/>
    <w:rsid w:val="006F56F1"/>
    <w:rsid w:val="006F689B"/>
    <w:rsid w:val="007070E8"/>
    <w:rsid w:val="0070749C"/>
    <w:rsid w:val="00711516"/>
    <w:rsid w:val="00711A84"/>
    <w:rsid w:val="0071339C"/>
    <w:rsid w:val="00714E81"/>
    <w:rsid w:val="007171C2"/>
    <w:rsid w:val="007171FF"/>
    <w:rsid w:val="007178A9"/>
    <w:rsid w:val="007178DE"/>
    <w:rsid w:val="0072113D"/>
    <w:rsid w:val="00722435"/>
    <w:rsid w:val="0072281C"/>
    <w:rsid w:val="007234B5"/>
    <w:rsid w:val="0072368F"/>
    <w:rsid w:val="007253E3"/>
    <w:rsid w:val="0072645B"/>
    <w:rsid w:val="00726DC4"/>
    <w:rsid w:val="0073095D"/>
    <w:rsid w:val="00734DED"/>
    <w:rsid w:val="007357D8"/>
    <w:rsid w:val="00737C0C"/>
    <w:rsid w:val="00741A58"/>
    <w:rsid w:val="00742CF1"/>
    <w:rsid w:val="0074412F"/>
    <w:rsid w:val="007449F2"/>
    <w:rsid w:val="007535A1"/>
    <w:rsid w:val="00754171"/>
    <w:rsid w:val="0075438D"/>
    <w:rsid w:val="00756F1A"/>
    <w:rsid w:val="00762AEF"/>
    <w:rsid w:val="00764A0B"/>
    <w:rsid w:val="00765FB0"/>
    <w:rsid w:val="00767936"/>
    <w:rsid w:val="00770F53"/>
    <w:rsid w:val="0077172E"/>
    <w:rsid w:val="007767FC"/>
    <w:rsid w:val="0078032F"/>
    <w:rsid w:val="00780D8A"/>
    <w:rsid w:val="007819D0"/>
    <w:rsid w:val="00784C2E"/>
    <w:rsid w:val="00785EBE"/>
    <w:rsid w:val="0079371C"/>
    <w:rsid w:val="00793BAB"/>
    <w:rsid w:val="00796B0C"/>
    <w:rsid w:val="007A06F5"/>
    <w:rsid w:val="007A0C41"/>
    <w:rsid w:val="007A1515"/>
    <w:rsid w:val="007A21D3"/>
    <w:rsid w:val="007B0D50"/>
    <w:rsid w:val="007B1EB7"/>
    <w:rsid w:val="007B4B6C"/>
    <w:rsid w:val="007B4CD4"/>
    <w:rsid w:val="007B542D"/>
    <w:rsid w:val="007B5DB6"/>
    <w:rsid w:val="007B606E"/>
    <w:rsid w:val="007C2302"/>
    <w:rsid w:val="007C3931"/>
    <w:rsid w:val="007C3C20"/>
    <w:rsid w:val="007C7FCD"/>
    <w:rsid w:val="007D0147"/>
    <w:rsid w:val="007D0FA1"/>
    <w:rsid w:val="007D4B19"/>
    <w:rsid w:val="007D73AB"/>
    <w:rsid w:val="007D792F"/>
    <w:rsid w:val="007D7B20"/>
    <w:rsid w:val="007E011B"/>
    <w:rsid w:val="007E3224"/>
    <w:rsid w:val="007E3AC7"/>
    <w:rsid w:val="007E4D98"/>
    <w:rsid w:val="007E68DF"/>
    <w:rsid w:val="007E7553"/>
    <w:rsid w:val="007E7EF4"/>
    <w:rsid w:val="007F07AA"/>
    <w:rsid w:val="007F46CE"/>
    <w:rsid w:val="007F4CC9"/>
    <w:rsid w:val="007F63EB"/>
    <w:rsid w:val="007F65CB"/>
    <w:rsid w:val="00802352"/>
    <w:rsid w:val="00802491"/>
    <w:rsid w:val="0080379C"/>
    <w:rsid w:val="0080645D"/>
    <w:rsid w:val="00806E85"/>
    <w:rsid w:val="00807A19"/>
    <w:rsid w:val="00813DCB"/>
    <w:rsid w:val="00814890"/>
    <w:rsid w:val="00816A7E"/>
    <w:rsid w:val="0082537A"/>
    <w:rsid w:val="008264C4"/>
    <w:rsid w:val="008303AD"/>
    <w:rsid w:val="0083216E"/>
    <w:rsid w:val="008431DD"/>
    <w:rsid w:val="00843585"/>
    <w:rsid w:val="0084473F"/>
    <w:rsid w:val="008476B0"/>
    <w:rsid w:val="00850429"/>
    <w:rsid w:val="008506F1"/>
    <w:rsid w:val="0085160A"/>
    <w:rsid w:val="00852202"/>
    <w:rsid w:val="008526D2"/>
    <w:rsid w:val="00852F4C"/>
    <w:rsid w:val="00853F64"/>
    <w:rsid w:val="00854107"/>
    <w:rsid w:val="008545B2"/>
    <w:rsid w:val="008578D9"/>
    <w:rsid w:val="0086063D"/>
    <w:rsid w:val="008607BB"/>
    <w:rsid w:val="00862303"/>
    <w:rsid w:val="0086245F"/>
    <w:rsid w:val="00862BED"/>
    <w:rsid w:val="00864376"/>
    <w:rsid w:val="008655B9"/>
    <w:rsid w:val="0087549B"/>
    <w:rsid w:val="00877636"/>
    <w:rsid w:val="00880AD2"/>
    <w:rsid w:val="00882153"/>
    <w:rsid w:val="008846AA"/>
    <w:rsid w:val="00886486"/>
    <w:rsid w:val="0089292F"/>
    <w:rsid w:val="00895BAF"/>
    <w:rsid w:val="00897D90"/>
    <w:rsid w:val="008A0DE7"/>
    <w:rsid w:val="008A1CB8"/>
    <w:rsid w:val="008A2D37"/>
    <w:rsid w:val="008A3A7C"/>
    <w:rsid w:val="008A3FDB"/>
    <w:rsid w:val="008A53CE"/>
    <w:rsid w:val="008A7862"/>
    <w:rsid w:val="008B17C8"/>
    <w:rsid w:val="008B710F"/>
    <w:rsid w:val="008C0890"/>
    <w:rsid w:val="008C39F2"/>
    <w:rsid w:val="008C64C5"/>
    <w:rsid w:val="008C6719"/>
    <w:rsid w:val="008C72E9"/>
    <w:rsid w:val="008C7A03"/>
    <w:rsid w:val="008D1006"/>
    <w:rsid w:val="008D506D"/>
    <w:rsid w:val="008D5E3B"/>
    <w:rsid w:val="008D67AF"/>
    <w:rsid w:val="008E03E5"/>
    <w:rsid w:val="008E0C43"/>
    <w:rsid w:val="008E141A"/>
    <w:rsid w:val="008E2454"/>
    <w:rsid w:val="008E4EF4"/>
    <w:rsid w:val="008E53CE"/>
    <w:rsid w:val="008F01EC"/>
    <w:rsid w:val="008F3384"/>
    <w:rsid w:val="008F53D7"/>
    <w:rsid w:val="0090024A"/>
    <w:rsid w:val="00906B78"/>
    <w:rsid w:val="009106DF"/>
    <w:rsid w:val="009127C1"/>
    <w:rsid w:val="00913553"/>
    <w:rsid w:val="00913B59"/>
    <w:rsid w:val="0091448A"/>
    <w:rsid w:val="00915D2F"/>
    <w:rsid w:val="009218F1"/>
    <w:rsid w:val="009225F4"/>
    <w:rsid w:val="00922D6C"/>
    <w:rsid w:val="00934C77"/>
    <w:rsid w:val="009361F9"/>
    <w:rsid w:val="009371AB"/>
    <w:rsid w:val="009407F3"/>
    <w:rsid w:val="009472A2"/>
    <w:rsid w:val="00951857"/>
    <w:rsid w:val="009519D8"/>
    <w:rsid w:val="00952ECD"/>
    <w:rsid w:val="00957990"/>
    <w:rsid w:val="00960C74"/>
    <w:rsid w:val="0096169F"/>
    <w:rsid w:val="0096191D"/>
    <w:rsid w:val="00962525"/>
    <w:rsid w:val="00962FC1"/>
    <w:rsid w:val="00964951"/>
    <w:rsid w:val="00967080"/>
    <w:rsid w:val="00970D78"/>
    <w:rsid w:val="00973EA2"/>
    <w:rsid w:val="00974698"/>
    <w:rsid w:val="009777D9"/>
    <w:rsid w:val="00977FCA"/>
    <w:rsid w:val="00980FB6"/>
    <w:rsid w:val="00982021"/>
    <w:rsid w:val="00985847"/>
    <w:rsid w:val="00985DF2"/>
    <w:rsid w:val="009932E2"/>
    <w:rsid w:val="00994244"/>
    <w:rsid w:val="009A003A"/>
    <w:rsid w:val="009A1279"/>
    <w:rsid w:val="009A170A"/>
    <w:rsid w:val="009A1A3D"/>
    <w:rsid w:val="009A33B4"/>
    <w:rsid w:val="009A3F55"/>
    <w:rsid w:val="009A7FE9"/>
    <w:rsid w:val="009B39D5"/>
    <w:rsid w:val="009B4960"/>
    <w:rsid w:val="009B5B00"/>
    <w:rsid w:val="009B5FBA"/>
    <w:rsid w:val="009B68DD"/>
    <w:rsid w:val="009B6A4D"/>
    <w:rsid w:val="009B73F5"/>
    <w:rsid w:val="009B74A2"/>
    <w:rsid w:val="009C0984"/>
    <w:rsid w:val="009C0F5B"/>
    <w:rsid w:val="009C0FE7"/>
    <w:rsid w:val="009C1C8B"/>
    <w:rsid w:val="009C2DE8"/>
    <w:rsid w:val="009C3E75"/>
    <w:rsid w:val="009C6FFC"/>
    <w:rsid w:val="009C73AA"/>
    <w:rsid w:val="009D05F2"/>
    <w:rsid w:val="009D1561"/>
    <w:rsid w:val="009D2E70"/>
    <w:rsid w:val="009D50CC"/>
    <w:rsid w:val="009D5450"/>
    <w:rsid w:val="009D591C"/>
    <w:rsid w:val="009D7263"/>
    <w:rsid w:val="009E0CE9"/>
    <w:rsid w:val="009E4761"/>
    <w:rsid w:val="009E5352"/>
    <w:rsid w:val="009E5B26"/>
    <w:rsid w:val="009F04CE"/>
    <w:rsid w:val="009F1F60"/>
    <w:rsid w:val="009F2C6C"/>
    <w:rsid w:val="009F579D"/>
    <w:rsid w:val="009F7939"/>
    <w:rsid w:val="00A04850"/>
    <w:rsid w:val="00A10504"/>
    <w:rsid w:val="00A149AA"/>
    <w:rsid w:val="00A14E2F"/>
    <w:rsid w:val="00A15A68"/>
    <w:rsid w:val="00A16BE5"/>
    <w:rsid w:val="00A174D8"/>
    <w:rsid w:val="00A23313"/>
    <w:rsid w:val="00A269AF"/>
    <w:rsid w:val="00A31BFE"/>
    <w:rsid w:val="00A3575A"/>
    <w:rsid w:val="00A36586"/>
    <w:rsid w:val="00A4045C"/>
    <w:rsid w:val="00A41E59"/>
    <w:rsid w:val="00A42877"/>
    <w:rsid w:val="00A42E19"/>
    <w:rsid w:val="00A46211"/>
    <w:rsid w:val="00A46483"/>
    <w:rsid w:val="00A4760A"/>
    <w:rsid w:val="00A504A6"/>
    <w:rsid w:val="00A50CA0"/>
    <w:rsid w:val="00A568B4"/>
    <w:rsid w:val="00A5769F"/>
    <w:rsid w:val="00A615ED"/>
    <w:rsid w:val="00A61FB4"/>
    <w:rsid w:val="00A67E3A"/>
    <w:rsid w:val="00A71504"/>
    <w:rsid w:val="00A72BE6"/>
    <w:rsid w:val="00A73B07"/>
    <w:rsid w:val="00A75148"/>
    <w:rsid w:val="00A77378"/>
    <w:rsid w:val="00A825A9"/>
    <w:rsid w:val="00A8393D"/>
    <w:rsid w:val="00A84BEE"/>
    <w:rsid w:val="00A86B19"/>
    <w:rsid w:val="00A9196C"/>
    <w:rsid w:val="00A932E6"/>
    <w:rsid w:val="00AA033C"/>
    <w:rsid w:val="00AA13B9"/>
    <w:rsid w:val="00AA276A"/>
    <w:rsid w:val="00AB150B"/>
    <w:rsid w:val="00AB1D97"/>
    <w:rsid w:val="00AB5931"/>
    <w:rsid w:val="00AB5C06"/>
    <w:rsid w:val="00AB6D73"/>
    <w:rsid w:val="00AB7615"/>
    <w:rsid w:val="00AC55D8"/>
    <w:rsid w:val="00AC5848"/>
    <w:rsid w:val="00AC6C83"/>
    <w:rsid w:val="00AD2C64"/>
    <w:rsid w:val="00AD66BD"/>
    <w:rsid w:val="00AD7359"/>
    <w:rsid w:val="00AE1A49"/>
    <w:rsid w:val="00B00B29"/>
    <w:rsid w:val="00B00CAF"/>
    <w:rsid w:val="00B046B5"/>
    <w:rsid w:val="00B05362"/>
    <w:rsid w:val="00B07034"/>
    <w:rsid w:val="00B1489A"/>
    <w:rsid w:val="00B15B0D"/>
    <w:rsid w:val="00B21718"/>
    <w:rsid w:val="00B2220B"/>
    <w:rsid w:val="00B23A99"/>
    <w:rsid w:val="00B241B1"/>
    <w:rsid w:val="00B25519"/>
    <w:rsid w:val="00B26365"/>
    <w:rsid w:val="00B30623"/>
    <w:rsid w:val="00B35842"/>
    <w:rsid w:val="00B41657"/>
    <w:rsid w:val="00B41DBC"/>
    <w:rsid w:val="00B4212A"/>
    <w:rsid w:val="00B42297"/>
    <w:rsid w:val="00B42AD6"/>
    <w:rsid w:val="00B43F2B"/>
    <w:rsid w:val="00B46CE2"/>
    <w:rsid w:val="00B4757D"/>
    <w:rsid w:val="00B47C06"/>
    <w:rsid w:val="00B47F7C"/>
    <w:rsid w:val="00B50DBA"/>
    <w:rsid w:val="00B51C6A"/>
    <w:rsid w:val="00B527E8"/>
    <w:rsid w:val="00B55B2D"/>
    <w:rsid w:val="00B55D12"/>
    <w:rsid w:val="00B568F7"/>
    <w:rsid w:val="00B64D08"/>
    <w:rsid w:val="00B66A91"/>
    <w:rsid w:val="00B6710E"/>
    <w:rsid w:val="00B7160B"/>
    <w:rsid w:val="00B7160F"/>
    <w:rsid w:val="00B72089"/>
    <w:rsid w:val="00B74A32"/>
    <w:rsid w:val="00B74F91"/>
    <w:rsid w:val="00B752AC"/>
    <w:rsid w:val="00B75C27"/>
    <w:rsid w:val="00B82ED2"/>
    <w:rsid w:val="00B839E0"/>
    <w:rsid w:val="00B855FA"/>
    <w:rsid w:val="00B87509"/>
    <w:rsid w:val="00B91675"/>
    <w:rsid w:val="00B93684"/>
    <w:rsid w:val="00B9520A"/>
    <w:rsid w:val="00B96A4C"/>
    <w:rsid w:val="00B96E42"/>
    <w:rsid w:val="00BA113A"/>
    <w:rsid w:val="00BA39D5"/>
    <w:rsid w:val="00BA4A89"/>
    <w:rsid w:val="00BA4EC5"/>
    <w:rsid w:val="00BA7286"/>
    <w:rsid w:val="00BA790B"/>
    <w:rsid w:val="00BB0747"/>
    <w:rsid w:val="00BB1D8E"/>
    <w:rsid w:val="00BB269C"/>
    <w:rsid w:val="00BB2FCC"/>
    <w:rsid w:val="00BB3C02"/>
    <w:rsid w:val="00BB40B5"/>
    <w:rsid w:val="00BB5DFF"/>
    <w:rsid w:val="00BC149B"/>
    <w:rsid w:val="00BC1873"/>
    <w:rsid w:val="00BC19DF"/>
    <w:rsid w:val="00BC5794"/>
    <w:rsid w:val="00BC659F"/>
    <w:rsid w:val="00BD0DA3"/>
    <w:rsid w:val="00BD1819"/>
    <w:rsid w:val="00BD1C67"/>
    <w:rsid w:val="00BD21A5"/>
    <w:rsid w:val="00BD26CB"/>
    <w:rsid w:val="00BD4B9F"/>
    <w:rsid w:val="00BD558A"/>
    <w:rsid w:val="00BD642E"/>
    <w:rsid w:val="00BE2B5A"/>
    <w:rsid w:val="00BE5171"/>
    <w:rsid w:val="00BE6807"/>
    <w:rsid w:val="00BF1C5A"/>
    <w:rsid w:val="00BF2DE8"/>
    <w:rsid w:val="00BF5DBE"/>
    <w:rsid w:val="00C046E5"/>
    <w:rsid w:val="00C054B2"/>
    <w:rsid w:val="00C06D14"/>
    <w:rsid w:val="00C10289"/>
    <w:rsid w:val="00C10FC6"/>
    <w:rsid w:val="00C14CD6"/>
    <w:rsid w:val="00C16463"/>
    <w:rsid w:val="00C1692B"/>
    <w:rsid w:val="00C20BBC"/>
    <w:rsid w:val="00C21FA5"/>
    <w:rsid w:val="00C23A57"/>
    <w:rsid w:val="00C30FDE"/>
    <w:rsid w:val="00C31343"/>
    <w:rsid w:val="00C33AE1"/>
    <w:rsid w:val="00C345F6"/>
    <w:rsid w:val="00C375A3"/>
    <w:rsid w:val="00C4049B"/>
    <w:rsid w:val="00C40B03"/>
    <w:rsid w:val="00C41669"/>
    <w:rsid w:val="00C43B9F"/>
    <w:rsid w:val="00C44821"/>
    <w:rsid w:val="00C4600D"/>
    <w:rsid w:val="00C5155A"/>
    <w:rsid w:val="00C54481"/>
    <w:rsid w:val="00C5736C"/>
    <w:rsid w:val="00C65CB1"/>
    <w:rsid w:val="00C70C8B"/>
    <w:rsid w:val="00C739C2"/>
    <w:rsid w:val="00C77D26"/>
    <w:rsid w:val="00C804DB"/>
    <w:rsid w:val="00C818C8"/>
    <w:rsid w:val="00C86FAB"/>
    <w:rsid w:val="00C879DA"/>
    <w:rsid w:val="00C94451"/>
    <w:rsid w:val="00C9589D"/>
    <w:rsid w:val="00C95A5F"/>
    <w:rsid w:val="00CA19B6"/>
    <w:rsid w:val="00CA2FA0"/>
    <w:rsid w:val="00CA3E48"/>
    <w:rsid w:val="00CA4E23"/>
    <w:rsid w:val="00CA57FD"/>
    <w:rsid w:val="00CA7BA1"/>
    <w:rsid w:val="00CA7CAE"/>
    <w:rsid w:val="00CB259A"/>
    <w:rsid w:val="00CB3963"/>
    <w:rsid w:val="00CB3B8A"/>
    <w:rsid w:val="00CB4D84"/>
    <w:rsid w:val="00CC0B77"/>
    <w:rsid w:val="00CC229B"/>
    <w:rsid w:val="00CC334A"/>
    <w:rsid w:val="00CC4011"/>
    <w:rsid w:val="00CC6730"/>
    <w:rsid w:val="00CD052D"/>
    <w:rsid w:val="00CD06F4"/>
    <w:rsid w:val="00CD3BC6"/>
    <w:rsid w:val="00CD632A"/>
    <w:rsid w:val="00CD646B"/>
    <w:rsid w:val="00CE03B5"/>
    <w:rsid w:val="00CE269A"/>
    <w:rsid w:val="00CE2C36"/>
    <w:rsid w:val="00CE70E3"/>
    <w:rsid w:val="00CE7A75"/>
    <w:rsid w:val="00CF149B"/>
    <w:rsid w:val="00CF2A24"/>
    <w:rsid w:val="00CF349F"/>
    <w:rsid w:val="00CF4498"/>
    <w:rsid w:val="00CF5624"/>
    <w:rsid w:val="00CF5674"/>
    <w:rsid w:val="00CF673F"/>
    <w:rsid w:val="00D01141"/>
    <w:rsid w:val="00D0210C"/>
    <w:rsid w:val="00D055C1"/>
    <w:rsid w:val="00D056D9"/>
    <w:rsid w:val="00D07255"/>
    <w:rsid w:val="00D12307"/>
    <w:rsid w:val="00D1244B"/>
    <w:rsid w:val="00D12577"/>
    <w:rsid w:val="00D15C22"/>
    <w:rsid w:val="00D165F3"/>
    <w:rsid w:val="00D22586"/>
    <w:rsid w:val="00D227A5"/>
    <w:rsid w:val="00D264DE"/>
    <w:rsid w:val="00D27880"/>
    <w:rsid w:val="00D27DEB"/>
    <w:rsid w:val="00D367C1"/>
    <w:rsid w:val="00D409B8"/>
    <w:rsid w:val="00D417FB"/>
    <w:rsid w:val="00D43F17"/>
    <w:rsid w:val="00D442DE"/>
    <w:rsid w:val="00D44DD3"/>
    <w:rsid w:val="00D47439"/>
    <w:rsid w:val="00D54967"/>
    <w:rsid w:val="00D54F98"/>
    <w:rsid w:val="00D558A1"/>
    <w:rsid w:val="00D6049C"/>
    <w:rsid w:val="00D61B5C"/>
    <w:rsid w:val="00D6402E"/>
    <w:rsid w:val="00D70397"/>
    <w:rsid w:val="00D70414"/>
    <w:rsid w:val="00D70F05"/>
    <w:rsid w:val="00D710CA"/>
    <w:rsid w:val="00D76D56"/>
    <w:rsid w:val="00D81CFC"/>
    <w:rsid w:val="00D82EB8"/>
    <w:rsid w:val="00D8474E"/>
    <w:rsid w:val="00D86835"/>
    <w:rsid w:val="00D86D13"/>
    <w:rsid w:val="00D91AE7"/>
    <w:rsid w:val="00D91BEE"/>
    <w:rsid w:val="00D97D61"/>
    <w:rsid w:val="00DA2C2B"/>
    <w:rsid w:val="00DA7925"/>
    <w:rsid w:val="00DB264D"/>
    <w:rsid w:val="00DB34AD"/>
    <w:rsid w:val="00DB38A1"/>
    <w:rsid w:val="00DC25A4"/>
    <w:rsid w:val="00DC270A"/>
    <w:rsid w:val="00DC719A"/>
    <w:rsid w:val="00DC77F6"/>
    <w:rsid w:val="00DC7879"/>
    <w:rsid w:val="00DD033F"/>
    <w:rsid w:val="00DD0462"/>
    <w:rsid w:val="00DD2C83"/>
    <w:rsid w:val="00DD6CFB"/>
    <w:rsid w:val="00DE0231"/>
    <w:rsid w:val="00DE14E0"/>
    <w:rsid w:val="00DE1D22"/>
    <w:rsid w:val="00DE26E9"/>
    <w:rsid w:val="00DE74A8"/>
    <w:rsid w:val="00DE78BB"/>
    <w:rsid w:val="00DE78DC"/>
    <w:rsid w:val="00DF12D3"/>
    <w:rsid w:val="00DF33A1"/>
    <w:rsid w:val="00DF3A30"/>
    <w:rsid w:val="00E00470"/>
    <w:rsid w:val="00E00D87"/>
    <w:rsid w:val="00E00DCF"/>
    <w:rsid w:val="00E0282B"/>
    <w:rsid w:val="00E0351D"/>
    <w:rsid w:val="00E05DF7"/>
    <w:rsid w:val="00E079CB"/>
    <w:rsid w:val="00E1023B"/>
    <w:rsid w:val="00E1090E"/>
    <w:rsid w:val="00E11833"/>
    <w:rsid w:val="00E11994"/>
    <w:rsid w:val="00E1327E"/>
    <w:rsid w:val="00E14AD8"/>
    <w:rsid w:val="00E163A7"/>
    <w:rsid w:val="00E16455"/>
    <w:rsid w:val="00E166BD"/>
    <w:rsid w:val="00E1734D"/>
    <w:rsid w:val="00E2047C"/>
    <w:rsid w:val="00E20508"/>
    <w:rsid w:val="00E210A1"/>
    <w:rsid w:val="00E22C10"/>
    <w:rsid w:val="00E23536"/>
    <w:rsid w:val="00E25EB7"/>
    <w:rsid w:val="00E276C4"/>
    <w:rsid w:val="00E301C4"/>
    <w:rsid w:val="00E30984"/>
    <w:rsid w:val="00E32DCD"/>
    <w:rsid w:val="00E32DE0"/>
    <w:rsid w:val="00E32E22"/>
    <w:rsid w:val="00E349B3"/>
    <w:rsid w:val="00E372E5"/>
    <w:rsid w:val="00E37F1B"/>
    <w:rsid w:val="00E403B9"/>
    <w:rsid w:val="00E40BE4"/>
    <w:rsid w:val="00E46534"/>
    <w:rsid w:val="00E5114A"/>
    <w:rsid w:val="00E5690F"/>
    <w:rsid w:val="00E57C83"/>
    <w:rsid w:val="00E604C4"/>
    <w:rsid w:val="00E606B5"/>
    <w:rsid w:val="00E60E37"/>
    <w:rsid w:val="00E61D9D"/>
    <w:rsid w:val="00E62399"/>
    <w:rsid w:val="00E626FF"/>
    <w:rsid w:val="00E627FB"/>
    <w:rsid w:val="00E635D7"/>
    <w:rsid w:val="00E63BA4"/>
    <w:rsid w:val="00E6438D"/>
    <w:rsid w:val="00E64ECF"/>
    <w:rsid w:val="00E67C7A"/>
    <w:rsid w:val="00E704B7"/>
    <w:rsid w:val="00E7079A"/>
    <w:rsid w:val="00E70FC6"/>
    <w:rsid w:val="00E71513"/>
    <w:rsid w:val="00E73E06"/>
    <w:rsid w:val="00E761E9"/>
    <w:rsid w:val="00E77285"/>
    <w:rsid w:val="00E810EA"/>
    <w:rsid w:val="00E817FC"/>
    <w:rsid w:val="00E83321"/>
    <w:rsid w:val="00E83B98"/>
    <w:rsid w:val="00E84105"/>
    <w:rsid w:val="00E843B1"/>
    <w:rsid w:val="00E85E11"/>
    <w:rsid w:val="00E87583"/>
    <w:rsid w:val="00E94B1C"/>
    <w:rsid w:val="00EA3358"/>
    <w:rsid w:val="00EA3E7A"/>
    <w:rsid w:val="00EA4EFA"/>
    <w:rsid w:val="00EA7EC1"/>
    <w:rsid w:val="00EB06E2"/>
    <w:rsid w:val="00EB1A16"/>
    <w:rsid w:val="00EB4A60"/>
    <w:rsid w:val="00EB68AC"/>
    <w:rsid w:val="00EB6F57"/>
    <w:rsid w:val="00EB70D0"/>
    <w:rsid w:val="00EC2440"/>
    <w:rsid w:val="00EC36E1"/>
    <w:rsid w:val="00EC4AA0"/>
    <w:rsid w:val="00EC5FFD"/>
    <w:rsid w:val="00ED2588"/>
    <w:rsid w:val="00ED4123"/>
    <w:rsid w:val="00ED48D1"/>
    <w:rsid w:val="00ED5103"/>
    <w:rsid w:val="00ED6CD4"/>
    <w:rsid w:val="00EE0721"/>
    <w:rsid w:val="00EE25E4"/>
    <w:rsid w:val="00EE4137"/>
    <w:rsid w:val="00EE6C84"/>
    <w:rsid w:val="00EE6FDE"/>
    <w:rsid w:val="00EE7A00"/>
    <w:rsid w:val="00EF4020"/>
    <w:rsid w:val="00EF5158"/>
    <w:rsid w:val="00EF60AE"/>
    <w:rsid w:val="00EF68C2"/>
    <w:rsid w:val="00F00513"/>
    <w:rsid w:val="00F030E1"/>
    <w:rsid w:val="00F04B7A"/>
    <w:rsid w:val="00F06626"/>
    <w:rsid w:val="00F11A59"/>
    <w:rsid w:val="00F14AC9"/>
    <w:rsid w:val="00F14F73"/>
    <w:rsid w:val="00F15592"/>
    <w:rsid w:val="00F15F56"/>
    <w:rsid w:val="00F207E0"/>
    <w:rsid w:val="00F21186"/>
    <w:rsid w:val="00F22929"/>
    <w:rsid w:val="00F22A3F"/>
    <w:rsid w:val="00F22C29"/>
    <w:rsid w:val="00F22DAE"/>
    <w:rsid w:val="00F233C2"/>
    <w:rsid w:val="00F2708C"/>
    <w:rsid w:val="00F276D2"/>
    <w:rsid w:val="00F27966"/>
    <w:rsid w:val="00F30057"/>
    <w:rsid w:val="00F30D1E"/>
    <w:rsid w:val="00F323AC"/>
    <w:rsid w:val="00F32F29"/>
    <w:rsid w:val="00F34D20"/>
    <w:rsid w:val="00F4032F"/>
    <w:rsid w:val="00F40E89"/>
    <w:rsid w:val="00F41B55"/>
    <w:rsid w:val="00F41B87"/>
    <w:rsid w:val="00F4356D"/>
    <w:rsid w:val="00F46653"/>
    <w:rsid w:val="00F50D7A"/>
    <w:rsid w:val="00F5114F"/>
    <w:rsid w:val="00F52160"/>
    <w:rsid w:val="00F569BB"/>
    <w:rsid w:val="00F607E9"/>
    <w:rsid w:val="00F61A9B"/>
    <w:rsid w:val="00F6303A"/>
    <w:rsid w:val="00F637EC"/>
    <w:rsid w:val="00F6749A"/>
    <w:rsid w:val="00F72BC6"/>
    <w:rsid w:val="00F74D92"/>
    <w:rsid w:val="00F74E91"/>
    <w:rsid w:val="00F765AC"/>
    <w:rsid w:val="00F774A1"/>
    <w:rsid w:val="00F83432"/>
    <w:rsid w:val="00F95FD5"/>
    <w:rsid w:val="00FA188F"/>
    <w:rsid w:val="00FA2B45"/>
    <w:rsid w:val="00FA3521"/>
    <w:rsid w:val="00FA4618"/>
    <w:rsid w:val="00FA5C6A"/>
    <w:rsid w:val="00FA70BC"/>
    <w:rsid w:val="00FB04CE"/>
    <w:rsid w:val="00FB17CB"/>
    <w:rsid w:val="00FB3D43"/>
    <w:rsid w:val="00FB5615"/>
    <w:rsid w:val="00FB782A"/>
    <w:rsid w:val="00FC111C"/>
    <w:rsid w:val="00FC36D8"/>
    <w:rsid w:val="00FC60FE"/>
    <w:rsid w:val="00FC6538"/>
    <w:rsid w:val="00FC6BBD"/>
    <w:rsid w:val="00FC7642"/>
    <w:rsid w:val="00FD04B8"/>
    <w:rsid w:val="00FD161B"/>
    <w:rsid w:val="00FD6542"/>
    <w:rsid w:val="00FD6CF8"/>
    <w:rsid w:val="00FD7C99"/>
    <w:rsid w:val="00FE06E7"/>
    <w:rsid w:val="00FE1148"/>
    <w:rsid w:val="00FE232D"/>
    <w:rsid w:val="00FE2B1F"/>
    <w:rsid w:val="00FE3ED7"/>
    <w:rsid w:val="00FE45E3"/>
    <w:rsid w:val="00FE4851"/>
    <w:rsid w:val="00FE4C70"/>
    <w:rsid w:val="00FF0EE3"/>
    <w:rsid w:val="00FF12AA"/>
    <w:rsid w:val="00FF3A0C"/>
    <w:rsid w:val="00FF3FC9"/>
    <w:rsid w:val="011F1A53"/>
    <w:rsid w:val="01B5201B"/>
    <w:rsid w:val="01C87E2D"/>
    <w:rsid w:val="01E565FA"/>
    <w:rsid w:val="01F00AC2"/>
    <w:rsid w:val="02154663"/>
    <w:rsid w:val="02292863"/>
    <w:rsid w:val="02301242"/>
    <w:rsid w:val="023A042F"/>
    <w:rsid w:val="024C6021"/>
    <w:rsid w:val="025010BB"/>
    <w:rsid w:val="02546B6C"/>
    <w:rsid w:val="029A5126"/>
    <w:rsid w:val="02D9500F"/>
    <w:rsid w:val="02E71BD7"/>
    <w:rsid w:val="03277754"/>
    <w:rsid w:val="037449FF"/>
    <w:rsid w:val="03BC14CB"/>
    <w:rsid w:val="03E10EBA"/>
    <w:rsid w:val="03F655EE"/>
    <w:rsid w:val="042664DE"/>
    <w:rsid w:val="043A2F8F"/>
    <w:rsid w:val="044C3400"/>
    <w:rsid w:val="04694538"/>
    <w:rsid w:val="048F3716"/>
    <w:rsid w:val="04B94F4D"/>
    <w:rsid w:val="04C21344"/>
    <w:rsid w:val="04D00F80"/>
    <w:rsid w:val="05454338"/>
    <w:rsid w:val="05E77817"/>
    <w:rsid w:val="061D2A2B"/>
    <w:rsid w:val="06387898"/>
    <w:rsid w:val="063B7194"/>
    <w:rsid w:val="065151B1"/>
    <w:rsid w:val="06D949CD"/>
    <w:rsid w:val="07205A43"/>
    <w:rsid w:val="072C2985"/>
    <w:rsid w:val="079F0123"/>
    <w:rsid w:val="08585B4C"/>
    <w:rsid w:val="08C03D58"/>
    <w:rsid w:val="097A7C6C"/>
    <w:rsid w:val="097C48EB"/>
    <w:rsid w:val="09DE6C10"/>
    <w:rsid w:val="0A14100E"/>
    <w:rsid w:val="0A22297D"/>
    <w:rsid w:val="0A886976"/>
    <w:rsid w:val="0AB04981"/>
    <w:rsid w:val="0ACD63C7"/>
    <w:rsid w:val="0B000C83"/>
    <w:rsid w:val="0B1308F6"/>
    <w:rsid w:val="0B253205"/>
    <w:rsid w:val="0B5F4322"/>
    <w:rsid w:val="0C446DC7"/>
    <w:rsid w:val="0CD20687"/>
    <w:rsid w:val="0CE74F8B"/>
    <w:rsid w:val="0D107A79"/>
    <w:rsid w:val="0D167CE5"/>
    <w:rsid w:val="0D3E4AE7"/>
    <w:rsid w:val="0DFB2FB3"/>
    <w:rsid w:val="0E823EAA"/>
    <w:rsid w:val="0E8A6DC2"/>
    <w:rsid w:val="0EB55CA2"/>
    <w:rsid w:val="0ECA344C"/>
    <w:rsid w:val="0F2A19CF"/>
    <w:rsid w:val="0F507316"/>
    <w:rsid w:val="0F75734D"/>
    <w:rsid w:val="0F7C390C"/>
    <w:rsid w:val="0FD542E6"/>
    <w:rsid w:val="0FE07D7F"/>
    <w:rsid w:val="10182083"/>
    <w:rsid w:val="109F7C81"/>
    <w:rsid w:val="10A049A9"/>
    <w:rsid w:val="10A74B97"/>
    <w:rsid w:val="10AE050B"/>
    <w:rsid w:val="10B643FA"/>
    <w:rsid w:val="10DA76D6"/>
    <w:rsid w:val="113A2F0E"/>
    <w:rsid w:val="116A3953"/>
    <w:rsid w:val="11FE06F3"/>
    <w:rsid w:val="12073485"/>
    <w:rsid w:val="121F5BBC"/>
    <w:rsid w:val="122B2DC6"/>
    <w:rsid w:val="126F7F50"/>
    <w:rsid w:val="128B37A6"/>
    <w:rsid w:val="129810EB"/>
    <w:rsid w:val="12E71799"/>
    <w:rsid w:val="13112404"/>
    <w:rsid w:val="132A7280"/>
    <w:rsid w:val="13416D96"/>
    <w:rsid w:val="13764A3E"/>
    <w:rsid w:val="13B677A9"/>
    <w:rsid w:val="13EE3401"/>
    <w:rsid w:val="142E526F"/>
    <w:rsid w:val="14693FA2"/>
    <w:rsid w:val="14A744DC"/>
    <w:rsid w:val="14AD0DD4"/>
    <w:rsid w:val="15562E0E"/>
    <w:rsid w:val="159A0776"/>
    <w:rsid w:val="1677734A"/>
    <w:rsid w:val="17216AF1"/>
    <w:rsid w:val="17422B1D"/>
    <w:rsid w:val="176F2136"/>
    <w:rsid w:val="17EB1580"/>
    <w:rsid w:val="17F712BD"/>
    <w:rsid w:val="1817154F"/>
    <w:rsid w:val="187F4F37"/>
    <w:rsid w:val="18953078"/>
    <w:rsid w:val="18B70434"/>
    <w:rsid w:val="1922698B"/>
    <w:rsid w:val="1983492A"/>
    <w:rsid w:val="1A2A1B57"/>
    <w:rsid w:val="1B3A7B26"/>
    <w:rsid w:val="1B7A33A9"/>
    <w:rsid w:val="1B820C36"/>
    <w:rsid w:val="1C341BE3"/>
    <w:rsid w:val="1C426CD6"/>
    <w:rsid w:val="1C47643B"/>
    <w:rsid w:val="1C5E08C4"/>
    <w:rsid w:val="1C730FDE"/>
    <w:rsid w:val="1CC75F0F"/>
    <w:rsid w:val="1D026B6B"/>
    <w:rsid w:val="1D13153B"/>
    <w:rsid w:val="1D807409"/>
    <w:rsid w:val="1DB40E22"/>
    <w:rsid w:val="1DCF37F0"/>
    <w:rsid w:val="1E075089"/>
    <w:rsid w:val="1E2A4C19"/>
    <w:rsid w:val="1EAD5057"/>
    <w:rsid w:val="1ED82539"/>
    <w:rsid w:val="1F072313"/>
    <w:rsid w:val="1F772FCB"/>
    <w:rsid w:val="1F8B60F0"/>
    <w:rsid w:val="2009603A"/>
    <w:rsid w:val="20917681"/>
    <w:rsid w:val="20F01EC6"/>
    <w:rsid w:val="21084144"/>
    <w:rsid w:val="210C0AB7"/>
    <w:rsid w:val="21440214"/>
    <w:rsid w:val="21955768"/>
    <w:rsid w:val="21FA1A16"/>
    <w:rsid w:val="221E1123"/>
    <w:rsid w:val="22674D7D"/>
    <w:rsid w:val="2342564B"/>
    <w:rsid w:val="236C7186"/>
    <w:rsid w:val="23910769"/>
    <w:rsid w:val="23A138B4"/>
    <w:rsid w:val="23B2130E"/>
    <w:rsid w:val="24021188"/>
    <w:rsid w:val="2459318C"/>
    <w:rsid w:val="246F0492"/>
    <w:rsid w:val="24B21A5A"/>
    <w:rsid w:val="24FD246F"/>
    <w:rsid w:val="25027012"/>
    <w:rsid w:val="250975F4"/>
    <w:rsid w:val="26132266"/>
    <w:rsid w:val="26674565"/>
    <w:rsid w:val="26E50D2A"/>
    <w:rsid w:val="26E866B4"/>
    <w:rsid w:val="27997EDF"/>
    <w:rsid w:val="27CA036D"/>
    <w:rsid w:val="27F3015D"/>
    <w:rsid w:val="28421013"/>
    <w:rsid w:val="285E79CB"/>
    <w:rsid w:val="286337EB"/>
    <w:rsid w:val="286A466A"/>
    <w:rsid w:val="287B6F62"/>
    <w:rsid w:val="288C62EA"/>
    <w:rsid w:val="28E90451"/>
    <w:rsid w:val="29523D8B"/>
    <w:rsid w:val="29564794"/>
    <w:rsid w:val="29C74A0E"/>
    <w:rsid w:val="29C94F77"/>
    <w:rsid w:val="2A5C2E7E"/>
    <w:rsid w:val="2B02353D"/>
    <w:rsid w:val="2B044B89"/>
    <w:rsid w:val="2B093819"/>
    <w:rsid w:val="2B3E2541"/>
    <w:rsid w:val="2BDE08FA"/>
    <w:rsid w:val="2BEB7CFF"/>
    <w:rsid w:val="2BF90944"/>
    <w:rsid w:val="2C354AF2"/>
    <w:rsid w:val="2C586EAF"/>
    <w:rsid w:val="2C713317"/>
    <w:rsid w:val="2C8F7376"/>
    <w:rsid w:val="2CB562BE"/>
    <w:rsid w:val="2CEC4612"/>
    <w:rsid w:val="2D4B773E"/>
    <w:rsid w:val="2D673047"/>
    <w:rsid w:val="2DC35A6B"/>
    <w:rsid w:val="2E201624"/>
    <w:rsid w:val="2E8D0249"/>
    <w:rsid w:val="2EE92E1E"/>
    <w:rsid w:val="2F2720ED"/>
    <w:rsid w:val="2F357E25"/>
    <w:rsid w:val="2F395F54"/>
    <w:rsid w:val="2F697164"/>
    <w:rsid w:val="2F870A85"/>
    <w:rsid w:val="2F9072FF"/>
    <w:rsid w:val="2FCC4D09"/>
    <w:rsid w:val="2FD52175"/>
    <w:rsid w:val="2FF16D8F"/>
    <w:rsid w:val="304D21A4"/>
    <w:rsid w:val="30502B6D"/>
    <w:rsid w:val="30AE768C"/>
    <w:rsid w:val="31091AB9"/>
    <w:rsid w:val="317D18D2"/>
    <w:rsid w:val="31C92AD2"/>
    <w:rsid w:val="3285327B"/>
    <w:rsid w:val="328716F8"/>
    <w:rsid w:val="32E81EB9"/>
    <w:rsid w:val="330B5E15"/>
    <w:rsid w:val="332F28F5"/>
    <w:rsid w:val="33D3632F"/>
    <w:rsid w:val="33FD76BE"/>
    <w:rsid w:val="34055461"/>
    <w:rsid w:val="34407811"/>
    <w:rsid w:val="344F417C"/>
    <w:rsid w:val="34530AE6"/>
    <w:rsid w:val="345343F5"/>
    <w:rsid w:val="345A37A9"/>
    <w:rsid w:val="34FE57FA"/>
    <w:rsid w:val="35156241"/>
    <w:rsid w:val="351C180B"/>
    <w:rsid w:val="35394371"/>
    <w:rsid w:val="354662DF"/>
    <w:rsid w:val="35B35362"/>
    <w:rsid w:val="35D455C8"/>
    <w:rsid w:val="35FD3316"/>
    <w:rsid w:val="360B340E"/>
    <w:rsid w:val="3633308A"/>
    <w:rsid w:val="36865D8A"/>
    <w:rsid w:val="36A95791"/>
    <w:rsid w:val="36B92E1C"/>
    <w:rsid w:val="36E3512F"/>
    <w:rsid w:val="36E542A3"/>
    <w:rsid w:val="36EC5CED"/>
    <w:rsid w:val="37036833"/>
    <w:rsid w:val="376B60CC"/>
    <w:rsid w:val="37846F04"/>
    <w:rsid w:val="378F12B1"/>
    <w:rsid w:val="37977A6D"/>
    <w:rsid w:val="37A15113"/>
    <w:rsid w:val="38231C25"/>
    <w:rsid w:val="38307E3A"/>
    <w:rsid w:val="38666187"/>
    <w:rsid w:val="38716244"/>
    <w:rsid w:val="38B12F93"/>
    <w:rsid w:val="38BE2B1C"/>
    <w:rsid w:val="390C3312"/>
    <w:rsid w:val="391A4DE7"/>
    <w:rsid w:val="391B2D98"/>
    <w:rsid w:val="392845DF"/>
    <w:rsid w:val="39384075"/>
    <w:rsid w:val="39905C5B"/>
    <w:rsid w:val="39C93C16"/>
    <w:rsid w:val="39DE2B24"/>
    <w:rsid w:val="39ED0AA1"/>
    <w:rsid w:val="39FA7F52"/>
    <w:rsid w:val="3A002E9A"/>
    <w:rsid w:val="3A0D7635"/>
    <w:rsid w:val="3A5D7DF1"/>
    <w:rsid w:val="3A696106"/>
    <w:rsid w:val="3A771E7C"/>
    <w:rsid w:val="3AAF136E"/>
    <w:rsid w:val="3ACA26EC"/>
    <w:rsid w:val="3AEE58E1"/>
    <w:rsid w:val="3B1521EF"/>
    <w:rsid w:val="3B1934F7"/>
    <w:rsid w:val="3B480A98"/>
    <w:rsid w:val="3BB64A67"/>
    <w:rsid w:val="3CA40A90"/>
    <w:rsid w:val="3CC36161"/>
    <w:rsid w:val="3D0B562A"/>
    <w:rsid w:val="3D380F65"/>
    <w:rsid w:val="3D532A73"/>
    <w:rsid w:val="3D663392"/>
    <w:rsid w:val="3DA610DF"/>
    <w:rsid w:val="3DF64736"/>
    <w:rsid w:val="3E6E2926"/>
    <w:rsid w:val="3E734AA8"/>
    <w:rsid w:val="3EBC53F6"/>
    <w:rsid w:val="3EBE60F2"/>
    <w:rsid w:val="3F390EE3"/>
    <w:rsid w:val="3F8C48AE"/>
    <w:rsid w:val="3FA041AC"/>
    <w:rsid w:val="3FEC6FA3"/>
    <w:rsid w:val="40104C12"/>
    <w:rsid w:val="404D6193"/>
    <w:rsid w:val="40711729"/>
    <w:rsid w:val="409669F0"/>
    <w:rsid w:val="41017B2F"/>
    <w:rsid w:val="418B32B2"/>
    <w:rsid w:val="4228754F"/>
    <w:rsid w:val="42422076"/>
    <w:rsid w:val="4243163F"/>
    <w:rsid w:val="42473139"/>
    <w:rsid w:val="427830BA"/>
    <w:rsid w:val="42837591"/>
    <w:rsid w:val="42942D63"/>
    <w:rsid w:val="42BC64DD"/>
    <w:rsid w:val="42E2174B"/>
    <w:rsid w:val="43B76C4B"/>
    <w:rsid w:val="44036C30"/>
    <w:rsid w:val="440B0908"/>
    <w:rsid w:val="443F7548"/>
    <w:rsid w:val="444A128E"/>
    <w:rsid w:val="449D633E"/>
    <w:rsid w:val="44BF3ED1"/>
    <w:rsid w:val="44E13350"/>
    <w:rsid w:val="451D41E6"/>
    <w:rsid w:val="4544208D"/>
    <w:rsid w:val="4560102C"/>
    <w:rsid w:val="45853E19"/>
    <w:rsid w:val="45B506A1"/>
    <w:rsid w:val="45C17CDE"/>
    <w:rsid w:val="45F95527"/>
    <w:rsid w:val="45FE57B3"/>
    <w:rsid w:val="464B75B8"/>
    <w:rsid w:val="46501022"/>
    <w:rsid w:val="46B22DAD"/>
    <w:rsid w:val="46F26148"/>
    <w:rsid w:val="47022C63"/>
    <w:rsid w:val="47286E32"/>
    <w:rsid w:val="479E32E6"/>
    <w:rsid w:val="47C85BBD"/>
    <w:rsid w:val="47E47304"/>
    <w:rsid w:val="47E50A8C"/>
    <w:rsid w:val="487C76A0"/>
    <w:rsid w:val="48853388"/>
    <w:rsid w:val="489243B7"/>
    <w:rsid w:val="489A547A"/>
    <w:rsid w:val="48EC26F4"/>
    <w:rsid w:val="48F573F1"/>
    <w:rsid w:val="49D97353"/>
    <w:rsid w:val="49F639F5"/>
    <w:rsid w:val="4A642A4E"/>
    <w:rsid w:val="4AA84682"/>
    <w:rsid w:val="4ACB543E"/>
    <w:rsid w:val="4ADC51BE"/>
    <w:rsid w:val="4AFC1194"/>
    <w:rsid w:val="4B142168"/>
    <w:rsid w:val="4B1D1201"/>
    <w:rsid w:val="4B9932D0"/>
    <w:rsid w:val="4C4A3A0C"/>
    <w:rsid w:val="4C556956"/>
    <w:rsid w:val="4D40043E"/>
    <w:rsid w:val="4DC54641"/>
    <w:rsid w:val="4DCA2D3A"/>
    <w:rsid w:val="4E7835BC"/>
    <w:rsid w:val="4E873C75"/>
    <w:rsid w:val="4E8B26C7"/>
    <w:rsid w:val="4E913497"/>
    <w:rsid w:val="4EB122B3"/>
    <w:rsid w:val="4ED313FC"/>
    <w:rsid w:val="4ED50339"/>
    <w:rsid w:val="4F411A2B"/>
    <w:rsid w:val="4F9834CC"/>
    <w:rsid w:val="4F9973F4"/>
    <w:rsid w:val="4FB516E1"/>
    <w:rsid w:val="4FD07B4B"/>
    <w:rsid w:val="50142A24"/>
    <w:rsid w:val="502B1E21"/>
    <w:rsid w:val="50A53988"/>
    <w:rsid w:val="514432FE"/>
    <w:rsid w:val="51450D89"/>
    <w:rsid w:val="51854E7F"/>
    <w:rsid w:val="51877F72"/>
    <w:rsid w:val="51F46078"/>
    <w:rsid w:val="51FC53E0"/>
    <w:rsid w:val="5201325E"/>
    <w:rsid w:val="52537187"/>
    <w:rsid w:val="52831058"/>
    <w:rsid w:val="52C55C27"/>
    <w:rsid w:val="532A0A56"/>
    <w:rsid w:val="533F5425"/>
    <w:rsid w:val="538006EE"/>
    <w:rsid w:val="545D163F"/>
    <w:rsid w:val="54661A6D"/>
    <w:rsid w:val="547000E3"/>
    <w:rsid w:val="54A133DF"/>
    <w:rsid w:val="54DC6F76"/>
    <w:rsid w:val="54F262B2"/>
    <w:rsid w:val="55500544"/>
    <w:rsid w:val="5558603B"/>
    <w:rsid w:val="558A07AD"/>
    <w:rsid w:val="55AD4568"/>
    <w:rsid w:val="55DC3E5D"/>
    <w:rsid w:val="55EF390D"/>
    <w:rsid w:val="55F60BA9"/>
    <w:rsid w:val="561016A7"/>
    <w:rsid w:val="561C06B7"/>
    <w:rsid w:val="56985ECA"/>
    <w:rsid w:val="570D10A9"/>
    <w:rsid w:val="577A2152"/>
    <w:rsid w:val="57962DD5"/>
    <w:rsid w:val="57DA2FF7"/>
    <w:rsid w:val="58750081"/>
    <w:rsid w:val="58CE4E5E"/>
    <w:rsid w:val="58D32786"/>
    <w:rsid w:val="5940355A"/>
    <w:rsid w:val="59CA67CF"/>
    <w:rsid w:val="59CD6415"/>
    <w:rsid w:val="59D77ED8"/>
    <w:rsid w:val="5A1F4157"/>
    <w:rsid w:val="5A4F1A83"/>
    <w:rsid w:val="5AF60605"/>
    <w:rsid w:val="5B092532"/>
    <w:rsid w:val="5B1D1F89"/>
    <w:rsid w:val="5B726428"/>
    <w:rsid w:val="5B883509"/>
    <w:rsid w:val="5B8D4F11"/>
    <w:rsid w:val="5B97670E"/>
    <w:rsid w:val="5BC86507"/>
    <w:rsid w:val="5C0C4A07"/>
    <w:rsid w:val="5C5825AA"/>
    <w:rsid w:val="5C5E59FD"/>
    <w:rsid w:val="5C9639C4"/>
    <w:rsid w:val="5D293A79"/>
    <w:rsid w:val="5D554490"/>
    <w:rsid w:val="5D617B99"/>
    <w:rsid w:val="5D6A0264"/>
    <w:rsid w:val="5DA913A6"/>
    <w:rsid w:val="5DFC41A9"/>
    <w:rsid w:val="5E215AF5"/>
    <w:rsid w:val="5E85058B"/>
    <w:rsid w:val="5F0F6B05"/>
    <w:rsid w:val="5F2549F6"/>
    <w:rsid w:val="5FEF0BC8"/>
    <w:rsid w:val="60235E90"/>
    <w:rsid w:val="607A593F"/>
    <w:rsid w:val="607E760A"/>
    <w:rsid w:val="6090471F"/>
    <w:rsid w:val="60965ADD"/>
    <w:rsid w:val="60CF4CAA"/>
    <w:rsid w:val="61226E78"/>
    <w:rsid w:val="612A36F4"/>
    <w:rsid w:val="619322D8"/>
    <w:rsid w:val="61AC4E9D"/>
    <w:rsid w:val="61AE0F73"/>
    <w:rsid w:val="61B52654"/>
    <w:rsid w:val="61BB1034"/>
    <w:rsid w:val="61C72E6E"/>
    <w:rsid w:val="625B56F8"/>
    <w:rsid w:val="632E79DE"/>
    <w:rsid w:val="63A04925"/>
    <w:rsid w:val="63A36A32"/>
    <w:rsid w:val="63CF1C92"/>
    <w:rsid w:val="63D50A45"/>
    <w:rsid w:val="6409130A"/>
    <w:rsid w:val="641A1533"/>
    <w:rsid w:val="64B90B78"/>
    <w:rsid w:val="653E2C47"/>
    <w:rsid w:val="65713B58"/>
    <w:rsid w:val="65BF71D6"/>
    <w:rsid w:val="660F52E1"/>
    <w:rsid w:val="674B49C6"/>
    <w:rsid w:val="675343DC"/>
    <w:rsid w:val="67766987"/>
    <w:rsid w:val="67FB8FE1"/>
    <w:rsid w:val="681A5F3B"/>
    <w:rsid w:val="683602AE"/>
    <w:rsid w:val="68633B35"/>
    <w:rsid w:val="6878474F"/>
    <w:rsid w:val="68B0186F"/>
    <w:rsid w:val="690A7BA1"/>
    <w:rsid w:val="690C2762"/>
    <w:rsid w:val="691876FE"/>
    <w:rsid w:val="691E574C"/>
    <w:rsid w:val="69501373"/>
    <w:rsid w:val="699948E1"/>
    <w:rsid w:val="6AB54053"/>
    <w:rsid w:val="6B4015B2"/>
    <w:rsid w:val="6B61082D"/>
    <w:rsid w:val="6B754BB2"/>
    <w:rsid w:val="6B8A4FC9"/>
    <w:rsid w:val="6BBB08DF"/>
    <w:rsid w:val="6BE801E7"/>
    <w:rsid w:val="6C2D178F"/>
    <w:rsid w:val="6C9F465B"/>
    <w:rsid w:val="6CB43BD9"/>
    <w:rsid w:val="6CBF1508"/>
    <w:rsid w:val="6CE27ACD"/>
    <w:rsid w:val="6CE54BAD"/>
    <w:rsid w:val="6D241E63"/>
    <w:rsid w:val="6D6B6E4D"/>
    <w:rsid w:val="6D9305DB"/>
    <w:rsid w:val="6DC37052"/>
    <w:rsid w:val="6DE94F39"/>
    <w:rsid w:val="6DF243DE"/>
    <w:rsid w:val="6E056DE4"/>
    <w:rsid w:val="6E2D7400"/>
    <w:rsid w:val="6E543DB3"/>
    <w:rsid w:val="6E8C68AC"/>
    <w:rsid w:val="6E937CD8"/>
    <w:rsid w:val="6F13037E"/>
    <w:rsid w:val="6F3D3ED9"/>
    <w:rsid w:val="6F414742"/>
    <w:rsid w:val="6F422395"/>
    <w:rsid w:val="6F5E5CAB"/>
    <w:rsid w:val="6F777F27"/>
    <w:rsid w:val="6FC113A3"/>
    <w:rsid w:val="6FCB39B7"/>
    <w:rsid w:val="707D5EC5"/>
    <w:rsid w:val="70C90DC0"/>
    <w:rsid w:val="70CE529A"/>
    <w:rsid w:val="71E75C26"/>
    <w:rsid w:val="71FF4465"/>
    <w:rsid w:val="723C52DD"/>
    <w:rsid w:val="72DE59F0"/>
    <w:rsid w:val="73094600"/>
    <w:rsid w:val="73295315"/>
    <w:rsid w:val="732A2376"/>
    <w:rsid w:val="73320DFD"/>
    <w:rsid w:val="738D1120"/>
    <w:rsid w:val="73A47D96"/>
    <w:rsid w:val="73BA3DE4"/>
    <w:rsid w:val="740C659A"/>
    <w:rsid w:val="74567DE9"/>
    <w:rsid w:val="7460295E"/>
    <w:rsid w:val="752442F9"/>
    <w:rsid w:val="75885418"/>
    <w:rsid w:val="75D81FEC"/>
    <w:rsid w:val="75F40C53"/>
    <w:rsid w:val="760261F5"/>
    <w:rsid w:val="76E5305A"/>
    <w:rsid w:val="77044481"/>
    <w:rsid w:val="77326D7C"/>
    <w:rsid w:val="773A092C"/>
    <w:rsid w:val="77694F52"/>
    <w:rsid w:val="777651F6"/>
    <w:rsid w:val="77FA5D85"/>
    <w:rsid w:val="78273EF6"/>
    <w:rsid w:val="7919753F"/>
    <w:rsid w:val="79353340"/>
    <w:rsid w:val="795A70E9"/>
    <w:rsid w:val="7A5F4BAC"/>
    <w:rsid w:val="7A6946E2"/>
    <w:rsid w:val="7A984F70"/>
    <w:rsid w:val="7AFE373A"/>
    <w:rsid w:val="7B366634"/>
    <w:rsid w:val="7B4E2788"/>
    <w:rsid w:val="7B70526D"/>
    <w:rsid w:val="7BA81DE3"/>
    <w:rsid w:val="7BC90D68"/>
    <w:rsid w:val="7BD9545B"/>
    <w:rsid w:val="7C7B179D"/>
    <w:rsid w:val="7C7F7A0B"/>
    <w:rsid w:val="7C9E6B19"/>
    <w:rsid w:val="7CD07F23"/>
    <w:rsid w:val="7CEA5711"/>
    <w:rsid w:val="7D8F6250"/>
    <w:rsid w:val="7D987E04"/>
    <w:rsid w:val="7DD6089E"/>
    <w:rsid w:val="7DDB0212"/>
    <w:rsid w:val="7E1B491C"/>
    <w:rsid w:val="7E295D76"/>
    <w:rsid w:val="7EA753CB"/>
    <w:rsid w:val="7F674106"/>
    <w:rsid w:val="F1D92A5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qFormat="1"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6">
    <w:name w:val="heading 1"/>
    <w:basedOn w:val="1"/>
    <w:next w:val="1"/>
    <w:link w:val="57"/>
    <w:qFormat/>
    <w:uiPriority w:val="0"/>
    <w:pPr>
      <w:keepNext/>
      <w:keepLines/>
      <w:numPr>
        <w:ilvl w:val="0"/>
        <w:numId w:val="1"/>
      </w:numPr>
      <w:spacing w:before="340" w:after="330" w:line="578" w:lineRule="auto"/>
      <w:outlineLvl w:val="0"/>
    </w:pPr>
    <w:rPr>
      <w:b/>
      <w:bCs/>
      <w:kern w:val="44"/>
      <w:sz w:val="44"/>
      <w:szCs w:val="44"/>
    </w:rPr>
  </w:style>
  <w:style w:type="paragraph" w:styleId="7">
    <w:name w:val="heading 2"/>
    <w:basedOn w:val="1"/>
    <w:next w:val="1"/>
    <w:link w:val="36"/>
    <w:qFormat/>
    <w:uiPriority w:val="0"/>
    <w:pPr>
      <w:keepNext/>
      <w:keepLines/>
      <w:numPr>
        <w:ilvl w:val="1"/>
        <w:numId w:val="1"/>
      </w:numPr>
      <w:spacing w:before="260" w:after="260" w:line="416" w:lineRule="auto"/>
      <w:outlineLvl w:val="1"/>
    </w:pPr>
    <w:rPr>
      <w:rFonts w:ascii="Arial" w:hAnsi="Arial" w:eastAsia="黑体"/>
      <w:b/>
      <w:bCs/>
      <w:sz w:val="32"/>
      <w:szCs w:val="32"/>
    </w:rPr>
  </w:style>
  <w:style w:type="paragraph" w:styleId="8">
    <w:name w:val="heading 3"/>
    <w:basedOn w:val="1"/>
    <w:next w:val="1"/>
    <w:link w:val="54"/>
    <w:qFormat/>
    <w:uiPriority w:val="0"/>
    <w:pPr>
      <w:keepNext/>
      <w:keepLines/>
      <w:numPr>
        <w:ilvl w:val="2"/>
        <w:numId w:val="1"/>
      </w:numPr>
      <w:spacing w:before="260" w:after="260" w:line="416" w:lineRule="auto"/>
      <w:outlineLvl w:val="2"/>
    </w:pPr>
    <w:rPr>
      <w:b/>
      <w:bCs/>
      <w:sz w:val="32"/>
      <w:szCs w:val="32"/>
    </w:rPr>
  </w:style>
  <w:style w:type="paragraph" w:styleId="9">
    <w:name w:val="heading 4"/>
    <w:basedOn w:val="1"/>
    <w:next w:val="1"/>
    <w:link w:val="35"/>
    <w:qFormat/>
    <w:uiPriority w:val="0"/>
    <w:pPr>
      <w:keepNext/>
      <w:keepLines/>
      <w:numPr>
        <w:ilvl w:val="3"/>
        <w:numId w:val="1"/>
      </w:numPr>
      <w:spacing w:before="280" w:after="290" w:line="376" w:lineRule="auto"/>
      <w:outlineLvl w:val="3"/>
    </w:pPr>
    <w:rPr>
      <w:rFonts w:ascii="Arial" w:hAnsi="Arial" w:eastAsia="黑体"/>
      <w:b/>
      <w:bCs/>
      <w:sz w:val="28"/>
      <w:szCs w:val="28"/>
    </w:rPr>
  </w:style>
  <w:style w:type="paragraph" w:styleId="10">
    <w:name w:val="heading 5"/>
    <w:basedOn w:val="1"/>
    <w:next w:val="1"/>
    <w:link w:val="41"/>
    <w:qFormat/>
    <w:uiPriority w:val="0"/>
    <w:pPr>
      <w:keepNext/>
      <w:keepLines/>
      <w:numPr>
        <w:ilvl w:val="4"/>
        <w:numId w:val="1"/>
      </w:numPr>
      <w:spacing w:before="280" w:after="290" w:line="376" w:lineRule="auto"/>
      <w:outlineLvl w:val="4"/>
    </w:pPr>
    <w:rPr>
      <w:b/>
      <w:bCs/>
      <w:sz w:val="28"/>
      <w:szCs w:val="28"/>
    </w:rPr>
  </w:style>
  <w:style w:type="paragraph" w:styleId="11">
    <w:name w:val="heading 6"/>
    <w:basedOn w:val="1"/>
    <w:next w:val="1"/>
    <w:link w:val="44"/>
    <w:qFormat/>
    <w:uiPriority w:val="0"/>
    <w:pPr>
      <w:keepNext/>
      <w:keepLines/>
      <w:numPr>
        <w:ilvl w:val="5"/>
        <w:numId w:val="1"/>
      </w:numPr>
      <w:spacing w:before="240" w:after="64" w:line="320" w:lineRule="auto"/>
      <w:outlineLvl w:val="5"/>
    </w:pPr>
    <w:rPr>
      <w:rFonts w:ascii="Arial" w:hAnsi="Arial" w:eastAsia="黑体"/>
      <w:b/>
      <w:bCs/>
      <w:sz w:val="24"/>
    </w:rPr>
  </w:style>
  <w:style w:type="paragraph" w:styleId="12">
    <w:name w:val="heading 7"/>
    <w:basedOn w:val="1"/>
    <w:next w:val="1"/>
    <w:link w:val="55"/>
    <w:qFormat/>
    <w:uiPriority w:val="0"/>
    <w:pPr>
      <w:keepNext/>
      <w:keepLines/>
      <w:numPr>
        <w:ilvl w:val="6"/>
        <w:numId w:val="1"/>
      </w:numPr>
      <w:spacing w:before="240" w:after="64" w:line="320" w:lineRule="auto"/>
      <w:outlineLvl w:val="6"/>
    </w:pPr>
    <w:rPr>
      <w:b/>
      <w:bCs/>
      <w:sz w:val="24"/>
    </w:rPr>
  </w:style>
  <w:style w:type="paragraph" w:styleId="13">
    <w:name w:val="heading 8"/>
    <w:basedOn w:val="1"/>
    <w:next w:val="1"/>
    <w:link w:val="47"/>
    <w:qFormat/>
    <w:uiPriority w:val="0"/>
    <w:pPr>
      <w:keepNext/>
      <w:keepLines/>
      <w:numPr>
        <w:ilvl w:val="7"/>
        <w:numId w:val="1"/>
      </w:numPr>
      <w:spacing w:before="240" w:after="64" w:line="320" w:lineRule="auto"/>
      <w:outlineLvl w:val="7"/>
    </w:pPr>
    <w:rPr>
      <w:rFonts w:ascii="Arial" w:hAnsi="Arial" w:eastAsia="黑体"/>
      <w:sz w:val="24"/>
    </w:rPr>
  </w:style>
  <w:style w:type="paragraph" w:styleId="14">
    <w:name w:val="heading 9"/>
    <w:basedOn w:val="1"/>
    <w:next w:val="1"/>
    <w:link w:val="39"/>
    <w:qFormat/>
    <w:uiPriority w:val="0"/>
    <w:pPr>
      <w:keepNext/>
      <w:keepLines/>
      <w:numPr>
        <w:ilvl w:val="8"/>
        <w:numId w:val="1"/>
      </w:numPr>
      <w:spacing w:before="240" w:after="64" w:line="320" w:lineRule="auto"/>
      <w:outlineLvl w:val="8"/>
    </w:pPr>
    <w:rPr>
      <w:rFonts w:ascii="Arial" w:hAnsi="Arial" w:eastAsia="黑体"/>
      <w:szCs w:val="21"/>
    </w:rPr>
  </w:style>
  <w:style w:type="character" w:default="1" w:styleId="27">
    <w:name w:val="Default Paragraph Font"/>
    <w:qFormat/>
    <w:uiPriority w:val="0"/>
  </w:style>
  <w:style w:type="table" w:default="1" w:styleId="25">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5"/>
    <w:qFormat/>
    <w:uiPriority w:val="0"/>
    <w:pPr>
      <w:ind w:firstLine="420" w:firstLineChars="200"/>
    </w:pPr>
  </w:style>
  <w:style w:type="paragraph" w:styleId="3">
    <w:name w:val="Body Text Indent"/>
    <w:basedOn w:val="1"/>
    <w:next w:val="4"/>
    <w:qFormat/>
    <w:uiPriority w:val="0"/>
    <w:pPr>
      <w:spacing w:after="120"/>
      <w:ind w:left="420" w:leftChars="200"/>
    </w:pPr>
  </w:style>
  <w:style w:type="paragraph" w:styleId="4">
    <w:name w:val="Normal Indent"/>
    <w:basedOn w:val="1"/>
    <w:unhideWhenUsed/>
    <w:qFormat/>
    <w:uiPriority w:val="99"/>
    <w:pPr>
      <w:ind w:firstLine="420" w:firstLineChars="200"/>
    </w:pPr>
  </w:style>
  <w:style w:type="paragraph" w:styleId="5">
    <w:name w:val="toc 4"/>
    <w:basedOn w:val="1"/>
    <w:next w:val="1"/>
    <w:qFormat/>
    <w:uiPriority w:val="0"/>
    <w:pPr>
      <w:ind w:left="1260"/>
    </w:pPr>
    <w:rPr>
      <w:rFonts w:ascii="黑体" w:eastAsia="黑体"/>
      <w:sz w:val="32"/>
      <w:szCs w:val="32"/>
    </w:rPr>
  </w:style>
  <w:style w:type="paragraph" w:styleId="15">
    <w:name w:val="annotation text"/>
    <w:basedOn w:val="1"/>
    <w:link w:val="59"/>
    <w:qFormat/>
    <w:uiPriority w:val="0"/>
    <w:pPr>
      <w:jc w:val="left"/>
    </w:pPr>
  </w:style>
  <w:style w:type="paragraph" w:styleId="16">
    <w:name w:val="Body Text"/>
    <w:basedOn w:val="1"/>
    <w:next w:val="1"/>
    <w:unhideWhenUsed/>
    <w:qFormat/>
    <w:uiPriority w:val="0"/>
    <w:pPr>
      <w:spacing w:after="120" w:afterLines="0" w:afterAutospacing="0"/>
    </w:pPr>
  </w:style>
  <w:style w:type="paragraph" w:styleId="17">
    <w:name w:val="toc 5"/>
    <w:basedOn w:val="1"/>
    <w:next w:val="1"/>
    <w:qFormat/>
    <w:uiPriority w:val="0"/>
    <w:pPr>
      <w:ind w:left="800" w:leftChars="800"/>
    </w:pPr>
  </w:style>
  <w:style w:type="paragraph" w:styleId="18">
    <w:name w:val="Date"/>
    <w:basedOn w:val="1"/>
    <w:next w:val="1"/>
    <w:qFormat/>
    <w:uiPriority w:val="0"/>
    <w:pPr>
      <w:ind w:left="100" w:leftChars="2500"/>
    </w:pPr>
  </w:style>
  <w:style w:type="paragraph" w:styleId="19">
    <w:name w:val="Balloon Text"/>
    <w:basedOn w:val="1"/>
    <w:link w:val="50"/>
    <w:qFormat/>
    <w:uiPriority w:val="0"/>
    <w:rPr>
      <w:sz w:val="18"/>
      <w:szCs w:val="18"/>
    </w:rPr>
  </w:style>
  <w:style w:type="paragraph" w:styleId="20">
    <w:name w:val="footer"/>
    <w:basedOn w:val="1"/>
    <w:qFormat/>
    <w:uiPriority w:val="0"/>
    <w:pPr>
      <w:tabs>
        <w:tab w:val="center" w:pos="4153"/>
        <w:tab w:val="right" w:pos="8306"/>
      </w:tabs>
      <w:snapToGrid w:val="0"/>
      <w:jc w:val="left"/>
    </w:pPr>
    <w:rPr>
      <w:sz w:val="18"/>
      <w:szCs w:val="18"/>
    </w:rPr>
  </w:style>
  <w:style w:type="paragraph" w:styleId="21">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2">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23">
    <w:name w:val="annotation subject"/>
    <w:basedOn w:val="15"/>
    <w:next w:val="15"/>
    <w:link w:val="58"/>
    <w:qFormat/>
    <w:uiPriority w:val="0"/>
    <w:rPr>
      <w:b/>
      <w:bCs/>
    </w:rPr>
  </w:style>
  <w:style w:type="paragraph" w:styleId="24">
    <w:name w:val="Body Text First Indent"/>
    <w:basedOn w:val="16"/>
    <w:next w:val="1"/>
    <w:qFormat/>
    <w:uiPriority w:val="0"/>
    <w:pPr>
      <w:ind w:firstLine="420" w:firstLineChars="100"/>
    </w:pPr>
  </w:style>
  <w:style w:type="table" w:styleId="26">
    <w:name w:val="Table Grid"/>
    <w:basedOn w:val="25"/>
    <w:qFormat/>
    <w:uiPriority w:val="0"/>
    <w:pPr>
      <w:widowControl w:val="0"/>
      <w:jc w:val="both"/>
    </w:pPr>
    <w:rPr>
      <w:rFonts w:ascii="Calibri" w:hAnsi="Calibri"/>
      <w:lang w:val="en-US" w:eastAsia="zh-CN" w:bidi="ar-S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8">
    <w:name w:val="Strong"/>
    <w:basedOn w:val="27"/>
    <w:qFormat/>
    <w:uiPriority w:val="0"/>
    <w:rPr>
      <w:b/>
    </w:rPr>
  </w:style>
  <w:style w:type="character" w:styleId="29">
    <w:name w:val="page number"/>
    <w:basedOn w:val="27"/>
    <w:qFormat/>
    <w:uiPriority w:val="0"/>
  </w:style>
  <w:style w:type="character" w:styleId="30">
    <w:name w:val="FollowedHyperlink"/>
    <w:basedOn w:val="27"/>
    <w:qFormat/>
    <w:uiPriority w:val="0"/>
    <w:rPr>
      <w:color w:val="333333"/>
      <w:u w:val="none"/>
    </w:rPr>
  </w:style>
  <w:style w:type="character" w:styleId="31">
    <w:name w:val="Hyperlink"/>
    <w:basedOn w:val="27"/>
    <w:qFormat/>
    <w:uiPriority w:val="0"/>
    <w:rPr>
      <w:color w:val="0563C1"/>
      <w:u w:val="single"/>
    </w:rPr>
  </w:style>
  <w:style w:type="character" w:styleId="32">
    <w:name w:val="HTML Code"/>
    <w:qFormat/>
    <w:uiPriority w:val="0"/>
    <w:rPr>
      <w:rFonts w:ascii="宋体" w:hAnsi="宋体" w:eastAsia="宋体" w:cs="宋体"/>
      <w:sz w:val="24"/>
      <w:szCs w:val="24"/>
    </w:rPr>
  </w:style>
  <w:style w:type="character" w:styleId="33">
    <w:name w:val="annotation reference"/>
    <w:qFormat/>
    <w:uiPriority w:val="0"/>
    <w:rPr>
      <w:sz w:val="21"/>
      <w:szCs w:val="21"/>
    </w:rPr>
  </w:style>
  <w:style w:type="paragraph" w:customStyle="1" w:styleId="34">
    <w:name w:val="_Style 1"/>
    <w:basedOn w:val="1"/>
    <w:qFormat/>
    <w:uiPriority w:val="0"/>
    <w:rPr>
      <w:rFonts w:ascii="Times New Roman" w:hAnsi="Times New Roman"/>
    </w:rPr>
  </w:style>
  <w:style w:type="character" w:customStyle="1" w:styleId="35">
    <w:name w:val="标题 4 Char"/>
    <w:link w:val="9"/>
    <w:qFormat/>
    <w:uiPriority w:val="0"/>
    <w:rPr>
      <w:rFonts w:ascii="Arial" w:hAnsi="Arial" w:eastAsia="黑体"/>
      <w:b/>
      <w:bCs/>
      <w:kern w:val="2"/>
      <w:sz w:val="28"/>
      <w:szCs w:val="28"/>
      <w:lang w:val="en-US" w:eastAsia="zh-CN" w:bidi="ar-SA"/>
    </w:rPr>
  </w:style>
  <w:style w:type="character" w:customStyle="1" w:styleId="36">
    <w:name w:val="标题 2 Char"/>
    <w:link w:val="7"/>
    <w:qFormat/>
    <w:uiPriority w:val="0"/>
    <w:rPr>
      <w:rFonts w:ascii="Arial" w:hAnsi="Arial" w:eastAsia="黑体"/>
      <w:b/>
      <w:bCs/>
      <w:kern w:val="2"/>
      <w:sz w:val="32"/>
      <w:szCs w:val="32"/>
      <w:lang w:val="en-US" w:eastAsia="zh-CN" w:bidi="ar-SA"/>
    </w:rPr>
  </w:style>
  <w:style w:type="character" w:customStyle="1" w:styleId="37">
    <w:name w:val="font61"/>
    <w:basedOn w:val="27"/>
    <w:qFormat/>
    <w:uiPriority w:val="0"/>
    <w:rPr>
      <w:rFonts w:hint="default" w:ascii="Times New Roman" w:hAnsi="Times New Roman" w:cs="Times New Roman"/>
      <w:color w:val="000000"/>
      <w:sz w:val="16"/>
      <w:szCs w:val="16"/>
      <w:u w:val="none"/>
    </w:rPr>
  </w:style>
  <w:style w:type="character" w:customStyle="1" w:styleId="38">
    <w:name w:val="font41"/>
    <w:basedOn w:val="27"/>
    <w:qFormat/>
    <w:uiPriority w:val="0"/>
    <w:rPr>
      <w:rFonts w:hint="eastAsia" w:ascii="宋体" w:hAnsi="宋体" w:eastAsia="宋体" w:cs="宋体"/>
      <w:color w:val="000000"/>
      <w:sz w:val="16"/>
      <w:szCs w:val="16"/>
      <w:u w:val="none"/>
    </w:rPr>
  </w:style>
  <w:style w:type="character" w:customStyle="1" w:styleId="39">
    <w:name w:val="标题 9 Char"/>
    <w:link w:val="14"/>
    <w:qFormat/>
    <w:uiPriority w:val="0"/>
    <w:rPr>
      <w:rFonts w:ascii="Arial" w:hAnsi="Arial" w:eastAsia="黑体"/>
      <w:kern w:val="2"/>
      <w:sz w:val="21"/>
      <w:szCs w:val="21"/>
      <w:lang w:val="en-US" w:eastAsia="zh-CN" w:bidi="ar-SA"/>
    </w:rPr>
  </w:style>
  <w:style w:type="character" w:customStyle="1" w:styleId="40">
    <w:name w:val="font01"/>
    <w:basedOn w:val="27"/>
    <w:qFormat/>
    <w:uiPriority w:val="0"/>
    <w:rPr>
      <w:rFonts w:hint="default" w:ascii="Times New Roman" w:hAnsi="Times New Roman" w:cs="Times New Roman"/>
      <w:color w:val="000000"/>
      <w:sz w:val="16"/>
      <w:szCs w:val="16"/>
      <w:u w:val="none"/>
    </w:rPr>
  </w:style>
  <w:style w:type="character" w:customStyle="1" w:styleId="41">
    <w:name w:val="标题 5 Char"/>
    <w:link w:val="10"/>
    <w:qFormat/>
    <w:uiPriority w:val="0"/>
    <w:rPr>
      <w:rFonts w:eastAsia="宋体"/>
      <w:b/>
      <w:bCs/>
      <w:kern w:val="2"/>
      <w:sz w:val="28"/>
      <w:szCs w:val="28"/>
      <w:lang w:val="en-US" w:eastAsia="zh-CN" w:bidi="ar-SA"/>
    </w:rPr>
  </w:style>
  <w:style w:type="character" w:customStyle="1" w:styleId="42">
    <w:name w:val="font131"/>
    <w:basedOn w:val="27"/>
    <w:qFormat/>
    <w:uiPriority w:val="0"/>
    <w:rPr>
      <w:rFonts w:hint="eastAsia" w:ascii="宋体" w:hAnsi="宋体" w:eastAsia="宋体" w:cs="宋体"/>
      <w:color w:val="000000"/>
      <w:sz w:val="16"/>
      <w:szCs w:val="16"/>
      <w:u w:val="none"/>
    </w:rPr>
  </w:style>
  <w:style w:type="character" w:customStyle="1" w:styleId="43">
    <w:name w:val="font51"/>
    <w:basedOn w:val="27"/>
    <w:qFormat/>
    <w:uiPriority w:val="0"/>
    <w:rPr>
      <w:rFonts w:hint="default" w:ascii="Times New Roman" w:hAnsi="Times New Roman" w:cs="Times New Roman"/>
      <w:color w:val="000000"/>
      <w:sz w:val="16"/>
      <w:szCs w:val="16"/>
      <w:u w:val="none"/>
    </w:rPr>
  </w:style>
  <w:style w:type="character" w:customStyle="1" w:styleId="44">
    <w:name w:val="标题 6 Char"/>
    <w:link w:val="11"/>
    <w:qFormat/>
    <w:uiPriority w:val="0"/>
    <w:rPr>
      <w:rFonts w:ascii="Arial" w:hAnsi="Arial" w:eastAsia="黑体"/>
      <w:b/>
      <w:bCs/>
      <w:kern w:val="2"/>
      <w:sz w:val="24"/>
      <w:szCs w:val="24"/>
      <w:lang w:val="en-US" w:eastAsia="zh-CN" w:bidi="ar-SA"/>
    </w:rPr>
  </w:style>
  <w:style w:type="character" w:customStyle="1" w:styleId="45">
    <w:name w:val="font71"/>
    <w:basedOn w:val="27"/>
    <w:qFormat/>
    <w:uiPriority w:val="0"/>
    <w:rPr>
      <w:rFonts w:hint="eastAsia" w:ascii="宋体" w:hAnsi="宋体" w:eastAsia="宋体" w:cs="宋体"/>
      <w:color w:val="000000"/>
      <w:sz w:val="16"/>
      <w:szCs w:val="16"/>
      <w:u w:val="none"/>
    </w:rPr>
  </w:style>
  <w:style w:type="character" w:customStyle="1" w:styleId="46">
    <w:name w:val="Heading 2 Char"/>
    <w:qFormat/>
    <w:locked/>
    <w:uiPriority w:val="0"/>
    <w:rPr>
      <w:rFonts w:ascii="Cambria" w:hAnsi="Cambria" w:eastAsia="宋体" w:cs="Times New Roman"/>
      <w:b/>
      <w:bCs/>
      <w:sz w:val="32"/>
      <w:szCs w:val="32"/>
    </w:rPr>
  </w:style>
  <w:style w:type="character" w:customStyle="1" w:styleId="47">
    <w:name w:val="标题 8 Char"/>
    <w:link w:val="13"/>
    <w:qFormat/>
    <w:uiPriority w:val="0"/>
    <w:rPr>
      <w:rFonts w:ascii="Arial" w:hAnsi="Arial" w:eastAsia="黑体"/>
      <w:kern w:val="2"/>
      <w:sz w:val="24"/>
      <w:szCs w:val="24"/>
      <w:lang w:val="en-US" w:eastAsia="zh-CN" w:bidi="ar-SA"/>
    </w:rPr>
  </w:style>
  <w:style w:type="character" w:customStyle="1" w:styleId="48">
    <w:name w:val="apple-converted-space"/>
    <w:qFormat/>
    <w:uiPriority w:val="0"/>
    <w:rPr>
      <w:rFonts w:cs="Times New Roman"/>
    </w:rPr>
  </w:style>
  <w:style w:type="character" w:customStyle="1" w:styleId="49">
    <w:name w:val="font91"/>
    <w:basedOn w:val="27"/>
    <w:qFormat/>
    <w:uiPriority w:val="0"/>
    <w:rPr>
      <w:rFonts w:hint="default" w:ascii="Times New Roman" w:hAnsi="Times New Roman" w:cs="Times New Roman"/>
      <w:color w:val="000000"/>
      <w:sz w:val="16"/>
      <w:szCs w:val="16"/>
      <w:u w:val="none"/>
    </w:rPr>
  </w:style>
  <w:style w:type="character" w:customStyle="1" w:styleId="50">
    <w:name w:val="批注框文本 Char"/>
    <w:link w:val="19"/>
    <w:qFormat/>
    <w:uiPriority w:val="0"/>
    <w:rPr>
      <w:rFonts w:eastAsia="宋体"/>
      <w:kern w:val="2"/>
      <w:sz w:val="18"/>
      <w:szCs w:val="18"/>
      <w:lang w:val="en-US" w:eastAsia="zh-CN" w:bidi="ar-SA"/>
    </w:rPr>
  </w:style>
  <w:style w:type="character" w:customStyle="1" w:styleId="51">
    <w:name w:val="hover23"/>
    <w:basedOn w:val="27"/>
    <w:qFormat/>
    <w:uiPriority w:val="0"/>
    <w:rPr>
      <w:color w:val="000000"/>
      <w:shd w:val="clear" w:color="auto" w:fill="FFFFFF"/>
    </w:rPr>
  </w:style>
  <w:style w:type="character" w:customStyle="1" w:styleId="52">
    <w:name w:val="font21"/>
    <w:basedOn w:val="27"/>
    <w:qFormat/>
    <w:uiPriority w:val="0"/>
    <w:rPr>
      <w:rFonts w:hint="eastAsia" w:ascii="宋体" w:hAnsi="宋体" w:eastAsia="宋体" w:cs="宋体"/>
      <w:color w:val="000000"/>
      <w:sz w:val="16"/>
      <w:szCs w:val="16"/>
      <w:u w:val="none"/>
    </w:rPr>
  </w:style>
  <w:style w:type="character" w:customStyle="1" w:styleId="53">
    <w:name w:val="wx-space1"/>
    <w:basedOn w:val="27"/>
    <w:qFormat/>
    <w:uiPriority w:val="0"/>
  </w:style>
  <w:style w:type="character" w:customStyle="1" w:styleId="54">
    <w:name w:val="标题 3 Char"/>
    <w:link w:val="8"/>
    <w:qFormat/>
    <w:uiPriority w:val="0"/>
    <w:rPr>
      <w:rFonts w:eastAsia="宋体"/>
      <w:b/>
      <w:bCs/>
      <w:kern w:val="2"/>
      <w:sz w:val="32"/>
      <w:szCs w:val="32"/>
      <w:lang w:val="en-US" w:eastAsia="zh-CN" w:bidi="ar-SA"/>
    </w:rPr>
  </w:style>
  <w:style w:type="character" w:customStyle="1" w:styleId="55">
    <w:name w:val="标题 7 Char"/>
    <w:link w:val="12"/>
    <w:qFormat/>
    <w:uiPriority w:val="0"/>
    <w:rPr>
      <w:rFonts w:eastAsia="宋体"/>
      <w:b/>
      <w:bCs/>
      <w:kern w:val="2"/>
      <w:sz w:val="24"/>
      <w:szCs w:val="24"/>
      <w:lang w:val="en-US" w:eastAsia="zh-CN" w:bidi="ar-SA"/>
    </w:rPr>
  </w:style>
  <w:style w:type="character" w:customStyle="1" w:styleId="56">
    <w:name w:val="wx-space"/>
    <w:basedOn w:val="27"/>
    <w:qFormat/>
    <w:uiPriority w:val="0"/>
  </w:style>
  <w:style w:type="character" w:customStyle="1" w:styleId="57">
    <w:name w:val="标题 1 Char"/>
    <w:link w:val="6"/>
    <w:qFormat/>
    <w:uiPriority w:val="0"/>
    <w:rPr>
      <w:rFonts w:eastAsia="宋体"/>
      <w:b/>
      <w:bCs/>
      <w:kern w:val="44"/>
      <w:sz w:val="44"/>
      <w:szCs w:val="44"/>
      <w:lang w:val="en-US" w:eastAsia="zh-CN" w:bidi="ar-SA"/>
    </w:rPr>
  </w:style>
  <w:style w:type="character" w:customStyle="1" w:styleId="58">
    <w:name w:val="批注主题 Char"/>
    <w:link w:val="23"/>
    <w:qFormat/>
    <w:uiPriority w:val="0"/>
    <w:rPr>
      <w:rFonts w:eastAsia="宋体"/>
      <w:b/>
      <w:bCs/>
      <w:kern w:val="2"/>
      <w:sz w:val="21"/>
      <w:szCs w:val="24"/>
      <w:lang w:val="en-US" w:eastAsia="zh-CN" w:bidi="ar-SA"/>
    </w:rPr>
  </w:style>
  <w:style w:type="character" w:customStyle="1" w:styleId="59">
    <w:name w:val="批注文字 Char"/>
    <w:link w:val="15"/>
    <w:qFormat/>
    <w:uiPriority w:val="0"/>
    <w:rPr>
      <w:rFonts w:eastAsia="宋体"/>
      <w:kern w:val="2"/>
      <w:sz w:val="21"/>
      <w:szCs w:val="24"/>
      <w:lang w:val="en-US" w:eastAsia="zh-CN" w:bidi="ar-SA"/>
    </w:rPr>
  </w:style>
  <w:style w:type="character" w:customStyle="1" w:styleId="60">
    <w:name w:val="hover25"/>
    <w:basedOn w:val="27"/>
    <w:qFormat/>
    <w:uiPriority w:val="0"/>
    <w:rPr>
      <w:color w:val="000000"/>
      <w:shd w:val="clear" w:color="auto" w:fill="FFFFFF"/>
    </w:rPr>
  </w:style>
  <w:style w:type="paragraph" w:customStyle="1" w:styleId="61">
    <w:name w:val="1111"/>
    <w:basedOn w:val="1"/>
    <w:qFormat/>
    <w:uiPriority w:val="0"/>
    <w:pPr>
      <w:spacing w:line="360" w:lineRule="auto"/>
      <w:ind w:firstLine="200" w:firstLineChars="200"/>
    </w:pPr>
    <w:rPr>
      <w:rFonts w:eastAsia="仿宋_GB2312"/>
      <w:sz w:val="24"/>
    </w:rPr>
  </w:style>
  <w:style w:type="paragraph" w:styleId="62">
    <w:name w:val="List Paragraph"/>
    <w:basedOn w:val="1"/>
    <w:qFormat/>
    <w:uiPriority w:val="0"/>
    <w:pPr>
      <w:ind w:firstLine="420" w:firstLineChars="200"/>
    </w:pPr>
  </w:style>
  <w:style w:type="character" w:customStyle="1" w:styleId="63">
    <w:name w:val="font31"/>
    <w:basedOn w:val="27"/>
    <w:qFormat/>
    <w:uiPriority w:val="0"/>
    <w:rPr>
      <w:rFonts w:hint="default" w:ascii="Times New Roman" w:hAnsi="Times New Roman" w:cs="Times New Roman"/>
      <w:color w:val="000000"/>
      <w:sz w:val="21"/>
      <w:szCs w:val="21"/>
      <w:u w:val="none"/>
    </w:rPr>
  </w:style>
  <w:style w:type="character" w:customStyle="1" w:styleId="64">
    <w:name w:val="font11"/>
    <w:basedOn w:val="27"/>
    <w:qFormat/>
    <w:uiPriority w:val="0"/>
    <w:rPr>
      <w:rFonts w:hint="eastAsia" w:ascii="宋体" w:hAnsi="宋体" w:eastAsia="宋体" w:cs="宋体"/>
      <w:color w:val="000000"/>
      <w:sz w:val="24"/>
      <w:szCs w:val="24"/>
      <w:u w:val="none"/>
    </w:rPr>
  </w:style>
  <w:style w:type="paragraph" w:customStyle="1" w:styleId="65">
    <w:name w:val="正文首行缩进1"/>
    <w:basedOn w:val="1"/>
    <w:qFormat/>
    <w:uiPriority w:val="0"/>
    <w:pPr>
      <w:spacing w:after="120"/>
      <w:ind w:firstLine="420" w:firstLineChars="100"/>
    </w:pPr>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19</Pages>
  <Words>7999</Words>
  <Characters>8685</Characters>
  <Lines>91</Lines>
  <Paragraphs>25</Paragraphs>
  <TotalTime>27</TotalTime>
  <ScaleCrop>false</ScaleCrop>
  <LinksUpToDate>false</LinksUpToDate>
  <CharactersWithSpaces>8806</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2017-09-01T16:20:00Z</dcterms:created>
  <dc:creator>Administrator</dc:creator>
  <cp:lastModifiedBy>明明</cp:lastModifiedBy>
  <cp:lastPrinted>2018-11-17T19:43:00Z</cp:lastPrinted>
  <dcterms:modified xsi:type="dcterms:W3CDTF">2023-11-20T06:47:39Z</dcterms:modified>
  <dc:title>岳阳市2012-2017年</dc:title>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DCECBF37DEE44C03A121C2FB07D0F48D</vt:lpwstr>
  </property>
</Properties>
</file>