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sz w:val="32"/>
          <w:szCs w:val="32"/>
        </w:rPr>
      </w:pPr>
      <w:r>
        <w:rPr>
          <w:rFonts w:hint="eastAsia" w:ascii="黑体" w:hAnsi="黑体" w:eastAsia="黑体"/>
          <w:sz w:val="32"/>
          <w:szCs w:val="32"/>
        </w:rPr>
        <w:t>附件3</w:t>
      </w:r>
    </w:p>
    <w:p>
      <w:pPr>
        <w:spacing w:line="240" w:lineRule="exact"/>
        <w:rPr>
          <w:rFonts w:hint="eastAsia" w:ascii="黑体" w:hAnsi="黑体" w:eastAsia="黑体"/>
          <w:sz w:val="32"/>
          <w:szCs w:val="32"/>
        </w:rPr>
      </w:pP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云溪区XX局行政审批委托书</w:t>
      </w:r>
    </w:p>
    <w:p>
      <w:pPr>
        <w:spacing w:line="600" w:lineRule="exact"/>
        <w:jc w:val="center"/>
        <w:rPr>
          <w:rFonts w:hint="eastAsia" w:ascii="楷体_GB2312" w:eastAsia="楷体_GB2312"/>
          <w:sz w:val="32"/>
          <w:szCs w:val="32"/>
        </w:rPr>
      </w:pPr>
      <w:r>
        <w:rPr>
          <w:rFonts w:hint="eastAsia" w:ascii="楷体_GB2312" w:eastAsia="楷体_GB2312"/>
          <w:sz w:val="32"/>
          <w:szCs w:val="32"/>
        </w:rPr>
        <w:t>（参考样本）</w:t>
      </w:r>
    </w:p>
    <w:p>
      <w:pPr>
        <w:spacing w:line="400" w:lineRule="exact"/>
        <w:jc w:val="center"/>
        <w:rPr>
          <w:rFonts w:hint="eastAsia" w:ascii="楷体_GB2312" w:eastAsia="楷体_GB2312"/>
          <w:sz w:val="32"/>
          <w:szCs w:val="32"/>
        </w:rPr>
      </w:pPr>
    </w:p>
    <w:p>
      <w:pPr>
        <w:wordWrap w:val="0"/>
        <w:spacing w:line="400" w:lineRule="exact"/>
        <w:ind w:firstLine="640" w:firstLineChars="200"/>
        <w:jc w:val="right"/>
        <w:rPr>
          <w:rFonts w:hint="eastAsia" w:ascii="仿宋_GB2312" w:eastAsia="仿宋_GB2312"/>
          <w:sz w:val="32"/>
          <w:szCs w:val="32"/>
        </w:rPr>
      </w:pPr>
      <w:r>
        <w:rPr>
          <w:rFonts w:hint="eastAsia" w:ascii="仿宋_GB2312" w:eastAsia="仿宋_GB2312"/>
          <w:sz w:val="32"/>
          <w:szCs w:val="32"/>
        </w:rPr>
        <w:t xml:space="preserve">XXX〔2022〕第X号  </w:t>
      </w:r>
    </w:p>
    <w:p>
      <w:pPr>
        <w:spacing w:line="500" w:lineRule="exact"/>
        <w:ind w:firstLine="640" w:firstLineChars="200"/>
        <w:rPr>
          <w:rFonts w:hint="eastAsia" w:ascii="仿宋_GB2312" w:eastAsia="仿宋_GB2312"/>
          <w:sz w:val="32"/>
          <w:szCs w:val="32"/>
        </w:rPr>
      </w:pP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委 托 方：云溪区XXX局</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受委托方：湖南岳阳绿色化工高新技术产业开发区管委会</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为了进一步深化行政审批制度改革，深入推进园区内涉企投资审批扁平化、标准化、便利化，更好地激发经济和社会发展活力，根据《中华人民共和国行政许可法》《湖南省人民政府办公厅关于印发湖南省园区赋权指导目录的通知》（湘政办发〔2020〕49号）等有关规定，云溪区XX局现将部分审批事项依法委托湖南岳阳绿色化工高新技术产业开发区管委会实施，具体委托事项、权限范围、委托期限及委托与受委托的权力义务明确如下：</w:t>
      </w:r>
    </w:p>
    <w:p>
      <w:pPr>
        <w:spacing w:line="520" w:lineRule="exact"/>
        <w:ind w:firstLine="640" w:firstLineChars="200"/>
        <w:rPr>
          <w:rFonts w:hint="eastAsia" w:ascii="黑体" w:hAnsi="黑体" w:eastAsia="黑体"/>
          <w:sz w:val="32"/>
          <w:szCs w:val="32"/>
        </w:rPr>
      </w:pPr>
      <w:r>
        <w:rPr>
          <w:rFonts w:hint="eastAsia" w:ascii="黑体" w:hAnsi="黑体" w:eastAsia="黑体"/>
          <w:sz w:val="32"/>
          <w:szCs w:val="32"/>
        </w:rPr>
        <w:t>一、委托事项</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1.XXXXXXXXXXXXXXXXXX；</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2.XXXXXXXXXXXXXXXXXX。</w:t>
      </w:r>
    </w:p>
    <w:p>
      <w:pPr>
        <w:spacing w:line="520" w:lineRule="exact"/>
        <w:ind w:firstLine="640" w:firstLineChars="200"/>
        <w:rPr>
          <w:rFonts w:hint="eastAsia" w:ascii="黑体" w:hAnsi="黑体" w:eastAsia="黑体"/>
          <w:sz w:val="32"/>
          <w:szCs w:val="32"/>
        </w:rPr>
      </w:pPr>
      <w:r>
        <w:rPr>
          <w:rFonts w:hint="eastAsia" w:ascii="黑体" w:hAnsi="黑体" w:eastAsia="黑体"/>
          <w:sz w:val="32"/>
          <w:szCs w:val="32"/>
        </w:rPr>
        <w:t>二、委托权限及委托期限</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受委托方在行政区域内，依法实施委托事项范围内的受理、审核、审批行为。</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委托期限自2022年X月XX日至20XX年X月XX日有效。</w:t>
      </w:r>
    </w:p>
    <w:p>
      <w:pPr>
        <w:spacing w:line="520" w:lineRule="exact"/>
        <w:ind w:firstLine="640" w:firstLineChars="200"/>
        <w:rPr>
          <w:rFonts w:hint="eastAsia" w:ascii="黑体" w:hAnsi="黑体" w:eastAsia="黑体"/>
          <w:sz w:val="32"/>
          <w:szCs w:val="32"/>
        </w:rPr>
      </w:pPr>
      <w:r>
        <w:rPr>
          <w:rFonts w:hint="eastAsia" w:ascii="黑体" w:hAnsi="黑体" w:eastAsia="黑体"/>
          <w:sz w:val="32"/>
          <w:szCs w:val="32"/>
        </w:rPr>
        <w:t>三、委托与受委托的权利和义务</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1.委托方对受委托方在委托权限范围内依法实施的行政许可行为承担法律责任。</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2.委托方负责对受委托方的相关行政许可事项进行业务指导，并对受委托方实施的行政许可行为进行监督检查，及时发现并纠正行政许可违法违规行为。</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3.受委托方在</w:t>
      </w:r>
      <w:r>
        <w:rPr>
          <w:rFonts w:hint="eastAsia" w:ascii="仿宋_GB2312" w:eastAsia="仿宋_GB2312"/>
          <w:spacing w:val="-6"/>
          <w:sz w:val="32"/>
          <w:szCs w:val="32"/>
        </w:rPr>
        <w:t>委托范围内，按照委托方的要求，以委托方的名义实施行政许可，不得再委托其他组</w:t>
      </w:r>
      <w:r>
        <w:rPr>
          <w:rFonts w:hint="eastAsia" w:ascii="仿宋_GB2312" w:eastAsia="仿宋_GB2312"/>
          <w:sz w:val="32"/>
          <w:szCs w:val="32"/>
        </w:rPr>
        <w:t>织或者个人实施行政许可。</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4.受委托方应定期（每月或半年一次）向委托方报告行政许可实施情况，按照《湖南省行政许可案卷标准》的要求规范行政许可法律文书，行政许可实施过程中形成的行政许可案卷，由受委托方档案管理部门按档案管理的有关要求统一归档管理。</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5.受委托方超出委托权限，不按有关法律法规和委托方制定的审批标准、业务指导规范等要求，私自审批、擅自作出行政许可，造成过错或产生法律纠纷的，自行承担全部责任。</w:t>
      </w:r>
    </w:p>
    <w:p>
      <w:pPr>
        <w:spacing w:line="520" w:lineRule="exact"/>
        <w:ind w:firstLine="640" w:firstLineChars="200"/>
        <w:rPr>
          <w:rFonts w:hint="eastAsia" w:ascii="黑体" w:hAnsi="黑体" w:eastAsia="黑体"/>
          <w:sz w:val="32"/>
          <w:szCs w:val="32"/>
        </w:rPr>
      </w:pPr>
      <w:r>
        <w:rPr>
          <w:rFonts w:hint="eastAsia" w:ascii="黑体" w:hAnsi="黑体" w:eastAsia="黑体"/>
          <w:sz w:val="32"/>
          <w:szCs w:val="32"/>
        </w:rPr>
        <w:t>四、有关说明</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1.本委托书经委托方、受委托方法定代表人签字并加盖单位公章之日起生效。</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2.本委托书一式四份，委托方、受委托方各执一份，区委编办、区跑改办备案一份。</w:t>
      </w:r>
    </w:p>
    <w:p>
      <w:pPr>
        <w:spacing w:line="520" w:lineRule="exact"/>
        <w:ind w:firstLine="640" w:firstLineChars="200"/>
        <w:rPr>
          <w:rFonts w:ascii="仿宋_GB2312" w:eastAsia="仿宋_GB2312"/>
          <w:sz w:val="32"/>
          <w:szCs w:val="32"/>
        </w:rPr>
      </w:pP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授权方：云溪区XX局 </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法定代表人：</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2022年X月XX日</w:t>
      </w:r>
    </w:p>
    <w:p>
      <w:pPr>
        <w:spacing w:line="520" w:lineRule="exact"/>
        <w:ind w:firstLine="640" w:firstLineChars="200"/>
        <w:rPr>
          <w:rFonts w:ascii="仿宋_GB2312" w:eastAsia="仿宋_GB2312"/>
          <w:sz w:val="32"/>
          <w:szCs w:val="32"/>
        </w:rPr>
      </w:pP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受委托方：湖南岳阳绿色化工高新技术产业开发区管委会</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法定代表人：</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2022年X月XX日</w:t>
      </w:r>
    </w:p>
    <w:p>
      <w:pPr>
        <w:pStyle w:val="7"/>
        <w:spacing w:line="20" w:lineRule="exact"/>
        <w:rPr>
          <w:rFonts w:hint="eastAsia"/>
        </w:rPr>
      </w:pPr>
      <w:bookmarkStart w:id="0" w:name="_GoBack"/>
      <w:bookmarkEnd w:id="0"/>
    </w:p>
    <w:sectPr>
      <w:headerReference r:id="rId3" w:type="default"/>
      <w:footerReference r:id="rId4" w:type="default"/>
      <w:pgSz w:w="11906" w:h="16838"/>
      <w:pgMar w:top="1531" w:right="1531" w:bottom="1531"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hint="eastAsia" w:ascii="宋体" w:hAnsi="宋体"/>
        <w:sz w:val="28"/>
        <w:szCs w:val="28"/>
      </w:rPr>
    </w:pPr>
    <w:r>
      <w:rPr>
        <w:rStyle w:val="11"/>
        <w:rFonts w:hint="eastAsia" w:ascii="宋体" w:hAnsi="宋体"/>
        <w:sz w:val="28"/>
        <w:szCs w:val="28"/>
      </w:rPr>
      <w:t xml:space="preserve">— </w:t>
    </w:r>
    <w:r>
      <w:rPr>
        <w:rStyle w:val="11"/>
        <w:rFonts w:hint="eastAsia" w:ascii="宋体" w:hAnsi="宋体"/>
        <w:sz w:val="28"/>
        <w:szCs w:val="28"/>
      </w:rPr>
      <w:fldChar w:fldCharType="begin"/>
    </w:r>
    <w:r>
      <w:rPr>
        <w:rStyle w:val="11"/>
        <w:rFonts w:hint="eastAsia" w:ascii="宋体" w:hAnsi="宋体"/>
        <w:sz w:val="28"/>
        <w:szCs w:val="28"/>
      </w:rPr>
      <w:instrText xml:space="preserve">PAGE  </w:instrText>
    </w:r>
    <w:r>
      <w:rPr>
        <w:rStyle w:val="11"/>
        <w:rFonts w:hint="eastAsia" w:ascii="宋体" w:hAnsi="宋体"/>
        <w:sz w:val="28"/>
        <w:szCs w:val="28"/>
      </w:rPr>
      <w:fldChar w:fldCharType="separate"/>
    </w:r>
    <w:r>
      <w:rPr>
        <w:rStyle w:val="11"/>
        <w:rFonts w:ascii="宋体" w:hAnsi="宋体"/>
        <w:sz w:val="28"/>
        <w:szCs w:val="28"/>
        <w:lang/>
      </w:rPr>
      <w:t>16</w:t>
    </w:r>
    <w:r>
      <w:rPr>
        <w:rStyle w:val="11"/>
        <w:rFonts w:hint="eastAsia" w:ascii="宋体" w:hAnsi="宋体"/>
        <w:sz w:val="28"/>
        <w:szCs w:val="28"/>
      </w:rPr>
      <w:fldChar w:fldCharType="end"/>
    </w:r>
    <w:r>
      <w:rPr>
        <w:rStyle w:val="11"/>
        <w:rFonts w:hint="eastAsia" w:ascii="宋体" w:hAnsi="宋体"/>
        <w:sz w:val="28"/>
        <w:szCs w:val="28"/>
      </w:rPr>
      <w:t xml:space="preserve"> —</w:t>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YTAwMDczYjY1N2QwMWRkOTJkMmFmZTU5MzlkOGQifQ=="/>
  </w:docVars>
  <w:rsids>
    <w:rsidRoot w:val="00B81839"/>
    <w:rsid w:val="002161BE"/>
    <w:rsid w:val="00231C90"/>
    <w:rsid w:val="005A69B7"/>
    <w:rsid w:val="00600974"/>
    <w:rsid w:val="006C568F"/>
    <w:rsid w:val="00717384"/>
    <w:rsid w:val="007216FD"/>
    <w:rsid w:val="007D256C"/>
    <w:rsid w:val="0082199F"/>
    <w:rsid w:val="009E2159"/>
    <w:rsid w:val="00A47925"/>
    <w:rsid w:val="00B81839"/>
    <w:rsid w:val="00C703FA"/>
    <w:rsid w:val="00D8520E"/>
    <w:rsid w:val="00DE5537"/>
    <w:rsid w:val="00E4200C"/>
    <w:rsid w:val="00E60A93"/>
    <w:rsid w:val="00EB4405"/>
    <w:rsid w:val="00F9433A"/>
    <w:rsid w:val="31126984"/>
    <w:rsid w:val="37EF2F8D"/>
    <w:rsid w:val="44966287"/>
    <w:rsid w:val="5AFB5E3A"/>
    <w:rsid w:val="7A9D04CA"/>
    <w:rsid w:val="7FFE46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Body Text"/>
    <w:basedOn w:val="1"/>
    <w:next w:val="3"/>
    <w:link w:val="12"/>
    <w:qFormat/>
    <w:uiPriority w:val="0"/>
    <w:rPr>
      <w:szCs w:val="22"/>
    </w:rPr>
  </w:style>
  <w:style w:type="paragraph" w:styleId="3">
    <w:name w:val="toc 5"/>
    <w:basedOn w:val="1"/>
    <w:next w:val="1"/>
    <w:qFormat/>
    <w:uiPriority w:val="0"/>
    <w:pPr>
      <w:ind w:left="1680" w:leftChars="800"/>
    </w:pPr>
    <w:rPr>
      <w:szCs w:val="22"/>
    </w:rPr>
  </w:style>
  <w:style w:type="paragraph" w:styleId="4">
    <w:name w:val="Body Text Indent"/>
    <w:basedOn w:val="1"/>
    <w:uiPriority w:val="0"/>
    <w:pPr>
      <w:spacing w:after="120"/>
      <w:ind w:left="420" w:leftChars="2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Body Text First Indent 2"/>
    <w:basedOn w:val="4"/>
    <w:uiPriority w:val="0"/>
    <w:pPr>
      <w:ind w:firstLine="420" w:firstLineChars="200"/>
    </w:pPr>
  </w:style>
  <w:style w:type="table" w:styleId="9">
    <w:name w:val="Table Grid"/>
    <w:basedOn w:val="8"/>
    <w:qFormat/>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style>
  <w:style w:type="character" w:customStyle="1" w:styleId="12">
    <w:name w:val="正文文本 字符"/>
    <w:link w:val="2"/>
    <w:uiPriority w:val="0"/>
    <w:rPr>
      <w:rFonts w:eastAsia="宋体"/>
      <w:kern w:val="2"/>
      <w:sz w:val="21"/>
      <w:szCs w:val="22"/>
      <w:lang w:val="en-US" w:eastAsia="zh-CN" w:bidi="ar-SA"/>
    </w:rPr>
  </w:style>
  <w:style w:type="character" w:customStyle="1" w:styleId="13">
    <w:name w:val="页眉 字符"/>
    <w:link w:val="6"/>
    <w:uiPriority w:val="0"/>
    <w:rPr>
      <w:rFonts w:ascii="Calibri" w:hAnsi="Calibri" w:eastAsia="宋体"/>
      <w:kern w:val="2"/>
      <w:sz w:val="18"/>
      <w:szCs w:val="18"/>
      <w:lang w:val="en-US" w:eastAsia="zh-CN" w:bidi="ar-SA"/>
    </w:rPr>
  </w:style>
  <w:style w:type="paragraph" w:customStyle="1" w:styleId="14">
    <w:name w:val="表格"/>
    <w:basedOn w:val="1"/>
    <w:qFormat/>
    <w:uiPriority w:val="0"/>
    <w:pPr>
      <w:spacing w:line="400" w:lineRule="exact"/>
      <w:jc w:val="center"/>
    </w:pPr>
    <w:rPr>
      <w:rFonts w:ascii="Calibri" w:hAnsi="Calibri"/>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5</Pages>
  <Words>1380</Words>
  <Characters>1512</Characters>
  <Lines>86</Lines>
  <Paragraphs>24</Paragraphs>
  <TotalTime>5</TotalTime>
  <ScaleCrop>false</ScaleCrop>
  <LinksUpToDate>false</LinksUpToDate>
  <CharactersWithSpaces>1535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2022-05-12T01:51:00Z</dcterms:created>
  <dc:creator>微软用户</dc:creator>
  <cp:lastModifiedBy>Administrator</cp:lastModifiedBy>
  <dcterms:modified xsi:type="dcterms:W3CDTF">2022-07-08T03:43:19Z</dcterms:modified>
  <dc:title>岳云政办发〔2022〕8号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5BC86E6AA7544A2394DF76D92E631AF9</vt:lpwstr>
  </property>
</Properties>
</file>