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z w:val="32"/>
          <w:szCs w:val="32"/>
        </w:rPr>
      </w:pPr>
      <w:bookmarkStart w:id="0" w:name="_GoBack"/>
      <w:bookmarkEnd w:id="0"/>
      <w:r>
        <w:rPr>
          <w:rFonts w:eastAsia="黑体"/>
          <w:sz w:val="32"/>
          <w:szCs w:val="32"/>
        </w:rPr>
        <w:t>附件</w:t>
      </w:r>
      <w:r>
        <w:rPr>
          <w:rFonts w:hint="eastAsia" w:eastAsia="黑体"/>
          <w:sz w:val="32"/>
          <w:szCs w:val="32"/>
        </w:rPr>
        <w:t>2</w:t>
      </w:r>
    </w:p>
    <w:p>
      <w:pPr>
        <w:autoSpaceDE w:val="0"/>
        <w:spacing w:afterLines="100"/>
        <w:jc w:val="center"/>
        <w:rPr>
          <w:rFonts w:eastAsia="方正小标宋简体"/>
          <w:sz w:val="44"/>
          <w:szCs w:val="44"/>
        </w:rPr>
      </w:pPr>
      <w:r>
        <w:rPr>
          <w:rFonts w:hint="eastAsia" w:eastAsia="方正小标宋简体"/>
          <w:sz w:val="44"/>
          <w:szCs w:val="44"/>
        </w:rPr>
        <w:t>2022年工贸烟花安全监管执法计划</w:t>
      </w:r>
    </w:p>
    <w:p>
      <w:pPr>
        <w:numPr>
          <w:ilvl w:val="0"/>
          <w:numId w:val="1"/>
        </w:numPr>
        <w:autoSpaceDE w:val="0"/>
        <w:adjustRightInd w:val="0"/>
        <w:snapToGrid w:val="0"/>
        <w:spacing w:line="560" w:lineRule="exact"/>
        <w:ind w:firstLine="640"/>
        <w:rPr>
          <w:rFonts w:ascii="黑体" w:hAnsi="黑体" w:eastAsia="黑体" w:cs="黑体"/>
          <w:sz w:val="32"/>
          <w:szCs w:val="32"/>
        </w:rPr>
      </w:pPr>
      <w:r>
        <w:rPr>
          <w:rFonts w:hint="eastAsia" w:ascii="黑体" w:hAnsi="黑体" w:eastAsia="黑体" w:cs="黑体"/>
          <w:sz w:val="32"/>
          <w:szCs w:val="32"/>
        </w:rPr>
        <w:t>工贸</w:t>
      </w:r>
      <w:r>
        <w:rPr>
          <w:rFonts w:ascii="黑体" w:hAnsi="黑体" w:eastAsia="黑体" w:cs="黑体"/>
          <w:sz w:val="32"/>
          <w:szCs w:val="32"/>
        </w:rPr>
        <w:t>烟花企业基本情况</w:t>
      </w:r>
    </w:p>
    <w:p>
      <w:pPr>
        <w:autoSpaceDE w:val="0"/>
        <w:adjustRightInd w:val="0"/>
        <w:snapToGrid w:val="0"/>
        <w:spacing w:line="560" w:lineRule="exact"/>
        <w:ind w:firstLine="320" w:firstLineChars="100"/>
        <w:rPr>
          <w:rFonts w:ascii="仿宋" w:hAnsi="仿宋" w:eastAsia="仿宋"/>
          <w:sz w:val="32"/>
          <w:szCs w:val="32"/>
        </w:rPr>
      </w:pPr>
      <w:r>
        <w:rPr>
          <w:rFonts w:hint="eastAsia" w:ascii="仿宋" w:hAnsi="仿宋" w:eastAsia="仿宋"/>
          <w:sz w:val="32"/>
          <w:szCs w:val="32"/>
        </w:rPr>
        <w:t>工贸烟花企业在册109家，按照2022年度重点企业和一般企业划分原则，重点企业21家（其中，工贸重点企业19家，烟花爆竹企业2家），一般企业88家。目前，工贸行业安全监督管理股在册3人，实际在岗且具备执法资格执法人员为3人。</w:t>
      </w:r>
    </w:p>
    <w:p>
      <w:pPr>
        <w:autoSpaceDE w:val="0"/>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二、主要执法依据</w:t>
      </w:r>
    </w:p>
    <w:p>
      <w:pPr>
        <w:autoSpaceDE w:val="0"/>
        <w:adjustRightInd w:val="0"/>
        <w:snapToGrid w:val="0"/>
        <w:spacing w:line="560" w:lineRule="exact"/>
        <w:ind w:firstLine="640" w:firstLineChars="200"/>
        <w:rPr>
          <w:rFonts w:eastAsia="仿宋_GB2312"/>
          <w:sz w:val="32"/>
          <w:szCs w:val="32"/>
        </w:rPr>
      </w:pPr>
      <w:r>
        <w:rPr>
          <w:rFonts w:ascii="仿宋_GB2312" w:eastAsia="仿宋_GB2312"/>
          <w:sz w:val="32"/>
          <w:szCs w:val="32"/>
        </w:rPr>
        <w:t>（一）《安全生产法》《行政处罚法》《烟花爆竹安全管理条例》《安全生产许可证条例》《生产安全事故应急条例》《湖南</w:t>
      </w:r>
      <w:r>
        <w:rPr>
          <w:rFonts w:hint="eastAsia" w:ascii="仿宋_GB2312" w:eastAsia="仿宋_GB2312"/>
          <w:sz w:val="32"/>
          <w:szCs w:val="32"/>
        </w:rPr>
        <w:t>省</w:t>
      </w:r>
      <w:r>
        <w:rPr>
          <w:rFonts w:ascii="仿宋_GB2312" w:eastAsia="仿宋_GB2312"/>
          <w:sz w:val="32"/>
          <w:szCs w:val="32"/>
        </w:rPr>
        <w:t>安全生产条例》《安全生产违法行为行政处罚办法》</w:t>
      </w:r>
      <w:r>
        <w:rPr>
          <w:rFonts w:hint="eastAsia" w:ascii="仿宋_GB2312" w:eastAsia="仿宋_GB2312"/>
          <w:sz w:val="32"/>
          <w:szCs w:val="32"/>
        </w:rPr>
        <w:t>。</w:t>
      </w:r>
    </w:p>
    <w:p>
      <w:pPr>
        <w:autoSpaceDE w:val="0"/>
        <w:adjustRightInd w:val="0"/>
        <w:snapToGrid w:val="0"/>
        <w:spacing w:line="560" w:lineRule="exact"/>
        <w:ind w:firstLine="640"/>
        <w:rPr>
          <w:rFonts w:eastAsia="仿宋_GB2312"/>
          <w:sz w:val="32"/>
          <w:szCs w:val="32"/>
        </w:rPr>
      </w:pPr>
      <w:r>
        <w:rPr>
          <w:rFonts w:ascii="仿宋_GB2312" w:eastAsia="仿宋_GB2312"/>
          <w:sz w:val="32"/>
          <w:szCs w:val="32"/>
        </w:rPr>
        <w:t>（二）《烟花爆竹生产企业安全生产许可证实施办法》《烟花爆竹生产经营安全规定》《烟花爆竹经营许可实施办法》《烟花爆竹工程设计安全规范》《烟花爆竹安全与质量》《烟花爆竹安全作业技术规程》</w:t>
      </w:r>
      <w:r>
        <w:rPr>
          <w:rFonts w:hint="eastAsia" w:ascii="仿宋_GB2312" w:eastAsia="仿宋_GB2312"/>
          <w:sz w:val="32"/>
          <w:szCs w:val="32"/>
        </w:rPr>
        <w:t>。</w:t>
      </w:r>
    </w:p>
    <w:p>
      <w:pPr>
        <w:autoSpaceDE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（三）《安全生产事故隐患排查治理暂行规定》《建设项目安全设施“三同时”监督管理暂行办法》</w:t>
      </w:r>
      <w:r>
        <w:rPr>
          <w:rFonts w:hint="eastAsia" w:ascii="仿宋_GB2312" w:hAnsi="Calibri" w:eastAsia="仿宋_GB2312"/>
          <w:sz w:val="32"/>
          <w:szCs w:val="32"/>
        </w:rPr>
        <w:t>《安全生产培训管理办法》《生产经营单位安全培训规定》</w:t>
      </w:r>
      <w:r>
        <w:rPr>
          <w:rFonts w:hint="eastAsia" w:ascii="仿宋_GB2312" w:hAnsi="Calibri" w:eastAsia="仿宋_GB2312"/>
          <w:kern w:val="0"/>
          <w:sz w:val="32"/>
          <w:szCs w:val="32"/>
        </w:rPr>
        <w:t>《特种作业人员安全技术培训考核管理规定</w:t>
      </w:r>
      <w:r>
        <w:rPr>
          <w:rFonts w:hint="eastAsia" w:ascii="仿宋_GB2312" w:hAnsi="黑体" w:eastAsia="仿宋_GB2312"/>
          <w:sz w:val="32"/>
          <w:szCs w:val="32"/>
        </w:rPr>
        <w:t>》《食品生产企业安全生产监督管理暂行规定》《工贸企业有限空间作业安全管理与监督暂行规定》《湖南省生产经营单位安全生产主体责任规定》《工贸行业重大生产安全事故隐患判定标准（2017版）》《工贸企业粉尘防爆安全规定》。</w:t>
      </w:r>
    </w:p>
    <w:p>
      <w:pPr>
        <w:autoSpaceDE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（四）《安全生产执法手册2020年版》。</w:t>
      </w:r>
    </w:p>
    <w:p>
      <w:pPr>
        <w:autoSpaceDE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（五）其他相关法律法规和标准规范及规范性文件。</w:t>
      </w:r>
    </w:p>
    <w:p>
      <w:pPr>
        <w:autoSpaceDE w:val="0"/>
        <w:adjustRightInd w:val="0"/>
        <w:snapToGrid w:val="0"/>
        <w:spacing w:line="560" w:lineRule="exact"/>
        <w:ind w:firstLine="640"/>
        <w:rPr>
          <w:rFonts w:eastAsia="黑体"/>
          <w:sz w:val="32"/>
          <w:szCs w:val="32"/>
        </w:rPr>
      </w:pPr>
      <w:r>
        <w:rPr>
          <w:rFonts w:ascii="黑体" w:hAnsi="黑体" w:eastAsia="黑体"/>
          <w:sz w:val="32"/>
          <w:szCs w:val="32"/>
        </w:rPr>
        <w:t>三、重点检查内容</w:t>
      </w:r>
    </w:p>
    <w:p>
      <w:pPr>
        <w:autoSpaceDE w:val="0"/>
        <w:adjustRightInd w:val="0"/>
        <w:snapToGrid w:val="0"/>
        <w:spacing w:line="560" w:lineRule="exact"/>
        <w:ind w:firstLine="640"/>
        <w:rPr>
          <w:rFonts w:eastAsia="仿宋_GB2312"/>
          <w:sz w:val="32"/>
          <w:szCs w:val="32"/>
        </w:rPr>
      </w:pPr>
      <w:r>
        <w:rPr>
          <w:rFonts w:ascii="仿宋_GB2312" w:eastAsia="仿宋_GB2312"/>
          <w:sz w:val="32"/>
          <w:szCs w:val="32"/>
        </w:rPr>
        <w:t>对生产经营单位是否具备有关法律、法规、规章和国家标准或者行业标准规定的安全生产条件进行监督检查，重点监督检查下列事项：</w:t>
      </w:r>
    </w:p>
    <w:p>
      <w:pPr>
        <w:autoSpaceDE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（一）安全生产责任制和安全管理制度落实情况的监督检查。企业是否建立健全员安全生产责任制，加强安全生产标准化建设，并建立考核标准及奖惩措施；是否</w:t>
      </w:r>
      <w:r>
        <w:rPr>
          <w:rFonts w:ascii="仿宋_GB2312" w:eastAsia="仿宋_GB2312"/>
          <w:sz w:val="32"/>
          <w:szCs w:val="32"/>
        </w:rPr>
        <w:t>依法设置安全生产管理机构和配备安全生产管理人员；</w:t>
      </w:r>
      <w:r>
        <w:rPr>
          <w:rFonts w:hint="eastAsia" w:ascii="仿宋_GB2312" w:hAnsi="Calibri" w:eastAsia="仿宋_GB2312"/>
          <w:sz w:val="32"/>
          <w:szCs w:val="32"/>
        </w:rPr>
        <w:t>是否制定安全检查制度、安全教育培训制度、事故隐患排查治理制度、安全生产奖惩制度等安全管理制度；是否制定作业安全规程和各工种操作规程；是否建立并落实</w:t>
      </w:r>
      <w:r>
        <w:rPr>
          <w:rFonts w:ascii="仿宋_GB2312" w:eastAsia="仿宋_GB2312"/>
          <w:sz w:val="32"/>
          <w:szCs w:val="32"/>
        </w:rPr>
        <w:t>双重预防机制</w:t>
      </w:r>
      <w:r>
        <w:rPr>
          <w:rFonts w:hint="eastAsia" w:ascii="仿宋_GB2312" w:hAnsi="Calibri" w:eastAsia="仿宋_GB2312"/>
          <w:sz w:val="32"/>
          <w:szCs w:val="32"/>
        </w:rPr>
        <w:t xml:space="preserve">。 </w:t>
      </w:r>
    </w:p>
    <w:p>
      <w:pPr>
        <w:autoSpaceDE w:val="0"/>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（二）安全生产源头防范落实情况的监督检查。企业</w:t>
      </w:r>
      <w:r>
        <w:rPr>
          <w:rFonts w:ascii="仿宋_GB2312" w:eastAsia="仿宋_GB2312"/>
          <w:sz w:val="32"/>
          <w:szCs w:val="32"/>
        </w:rPr>
        <w:t>新、改、扩工程建设项目</w:t>
      </w:r>
      <w:r>
        <w:rPr>
          <w:rFonts w:hint="eastAsia" w:ascii="仿宋_GB2312" w:eastAsia="仿宋_GB2312"/>
          <w:sz w:val="32"/>
          <w:szCs w:val="32"/>
        </w:rPr>
        <w:t>是否</w:t>
      </w:r>
      <w:r>
        <w:rPr>
          <w:rFonts w:hint="eastAsia" w:ascii="仿宋_GB2312" w:hAnsi="Calibri" w:eastAsia="仿宋_GB2312"/>
          <w:sz w:val="32"/>
          <w:szCs w:val="32"/>
        </w:rPr>
        <w:t>履行</w:t>
      </w:r>
      <w:r>
        <w:rPr>
          <w:rFonts w:eastAsia="仿宋_GB2312"/>
          <w:sz w:val="32"/>
          <w:szCs w:val="32"/>
        </w:rPr>
        <w:t>“</w:t>
      </w:r>
      <w:r>
        <w:rPr>
          <w:rFonts w:ascii="仿宋_GB2312" w:eastAsia="仿宋_GB2312"/>
          <w:sz w:val="32"/>
          <w:szCs w:val="32"/>
        </w:rPr>
        <w:t>三同时</w:t>
      </w:r>
      <w:r>
        <w:rPr>
          <w:rFonts w:eastAsia="仿宋_GB2312"/>
          <w:sz w:val="32"/>
          <w:szCs w:val="32"/>
        </w:rPr>
        <w:t>”</w:t>
      </w:r>
      <w:r>
        <w:rPr>
          <w:rFonts w:hint="eastAsia" w:ascii="仿宋_GB2312" w:eastAsia="仿宋_GB2312"/>
          <w:sz w:val="32"/>
          <w:szCs w:val="32"/>
        </w:rPr>
        <w:t>手续；</w:t>
      </w:r>
      <w:r>
        <w:rPr>
          <w:rFonts w:hint="eastAsia" w:ascii="仿宋_GB2312" w:hAnsi="Calibri" w:eastAsia="仿宋_GB2312"/>
          <w:sz w:val="32"/>
          <w:szCs w:val="32"/>
        </w:rPr>
        <w:t>有关安全设备的安装、使用、检测、维修、改造和报废是否符合国家标准或者行业标准，并进行经常性维护、保养和定期检测；是否使用列入淘汰落后技术装备目录的工艺、设备；按照有关国家标准对本单位重大危险源进行辨识、登记建档，定期检测、评估、监控。</w:t>
      </w:r>
    </w:p>
    <w:p>
      <w:pPr>
        <w:autoSpaceDE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三）事故隐患排查治理落实情况的监督检查。督促企业建立健全生产安全事故隐患排查治理制度，采取技术、管理措施，及时发现并消除事故隐患；工贸企业是否按照有关重大事故隐患判定标准，排查治理本单位重大事故隐患，并在重大事故隐患治理过程中采取相应的安全防范措施及</w:t>
      </w:r>
      <w:r>
        <w:rPr>
          <w:rFonts w:ascii="仿宋_GB2312" w:eastAsia="仿宋_GB2312"/>
          <w:sz w:val="32"/>
          <w:szCs w:val="32"/>
        </w:rPr>
        <w:t>时排查治理生产安全事故隐患</w:t>
      </w:r>
      <w:r>
        <w:rPr>
          <w:rFonts w:hint="eastAsia" w:ascii="仿宋_GB2312" w:hAnsi="Calibri" w:eastAsia="仿宋_GB2312"/>
          <w:sz w:val="32"/>
          <w:szCs w:val="32"/>
        </w:rPr>
        <w:t>。</w:t>
      </w:r>
    </w:p>
    <w:p>
      <w:pPr>
        <w:autoSpaceDE w:val="0"/>
        <w:adjustRightInd w:val="0"/>
        <w:snapToGrid w:val="0"/>
        <w:spacing w:line="560" w:lineRule="exact"/>
        <w:ind w:firstLine="640" w:firstLineChars="200"/>
        <w:rPr>
          <w:rFonts w:ascii="仿宋_GB2312" w:hAnsi="Calibri" w:eastAsia="仿宋_GB2312"/>
          <w:sz w:val="36"/>
          <w:szCs w:val="36"/>
        </w:rPr>
      </w:pPr>
      <w:r>
        <w:rPr>
          <w:rFonts w:hint="eastAsia" w:ascii="仿宋_GB2312" w:hAnsi="Calibri" w:eastAsia="仿宋_GB2312"/>
          <w:sz w:val="32"/>
          <w:szCs w:val="32"/>
        </w:rPr>
        <w:t>（四）安全生产教育培训落实情况的监督检查。烟花批发企业主要负责人和安全生产管理人员是否经有关部门对其安全生产知识和管理能力考核合格，</w:t>
      </w:r>
      <w:r>
        <w:rPr>
          <w:rFonts w:ascii="仿宋_GB2312" w:eastAsia="仿宋_GB2312"/>
          <w:sz w:val="32"/>
          <w:szCs w:val="32"/>
        </w:rPr>
        <w:t>取得有关安全资格证书</w:t>
      </w:r>
      <w:r>
        <w:rPr>
          <w:rFonts w:hint="eastAsia" w:ascii="仿宋_GB2312" w:hAnsi="Calibri" w:eastAsia="仿宋_GB2312"/>
          <w:sz w:val="32"/>
          <w:szCs w:val="32"/>
        </w:rPr>
        <w:t>；企业是否按规定对从业人员进行安全生产教育和培训，</w:t>
      </w:r>
      <w:r>
        <w:rPr>
          <w:rFonts w:ascii="仿宋_GB2312" w:eastAsia="仿宋_GB2312"/>
          <w:sz w:val="32"/>
          <w:szCs w:val="32"/>
        </w:rPr>
        <w:t>教育和督促从业人员严格执行本单位的安全生产规章制度和安全操作规程，并向从业人员如实告知作业场所和工作岗位存在的危险因素、防范措施以及事故应急措施；</w:t>
      </w:r>
    </w:p>
    <w:p>
      <w:pPr>
        <w:autoSpaceDE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五）现场作业安全管理落实情况的执法检查。企业是否存在违章指挥、强令从业人员冒险作业现象；是否在有较大危险因素的生产经营场所和有关设施、设备上，设置明显的安全警示标志；从事涉爆粉尘、有限空间、吊装、动火及国家有关规定明确的危险作业时，是否进行审批并安排专门人员进行现场安全管理；企业生产经营项目、场地发包或租赁其他单位是否与承包方签订专门的安全生产管理协议，将外包项目的安全生产统一协调、管理；是否为从业人员提供符合国家标准或者行业标准的劳动防护用品；企业是否</w:t>
      </w:r>
      <w:r>
        <w:rPr>
          <w:rFonts w:ascii="仿宋_GB2312" w:eastAsia="仿宋_GB2312"/>
          <w:sz w:val="32"/>
          <w:szCs w:val="32"/>
        </w:rPr>
        <w:t>对安全设备设施</w:t>
      </w:r>
      <w:r>
        <w:rPr>
          <w:rFonts w:hint="eastAsia" w:ascii="仿宋_GB2312" w:eastAsia="仿宋_GB2312"/>
          <w:sz w:val="32"/>
          <w:szCs w:val="32"/>
        </w:rPr>
        <w:t>进行</w:t>
      </w:r>
      <w:r>
        <w:rPr>
          <w:rFonts w:ascii="仿宋_GB2312" w:eastAsia="仿宋_GB2312"/>
          <w:sz w:val="32"/>
          <w:szCs w:val="32"/>
        </w:rPr>
        <w:t>维护、保养、定期检测</w:t>
      </w:r>
      <w:r>
        <w:rPr>
          <w:rFonts w:hint="eastAsia" w:ascii="仿宋_GB2312" w:hAnsi="Calibri" w:eastAsia="仿宋_GB2312"/>
          <w:sz w:val="32"/>
          <w:szCs w:val="32"/>
        </w:rPr>
        <w:t>。</w:t>
      </w:r>
    </w:p>
    <w:p>
      <w:pPr>
        <w:autoSpaceDE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（六）安全生产应急管理落实情况的监督检查。是否组织</w:t>
      </w:r>
      <w:r>
        <w:rPr>
          <w:rFonts w:ascii="仿宋_GB2312" w:eastAsia="仿宋_GB2312"/>
          <w:sz w:val="32"/>
          <w:szCs w:val="32"/>
        </w:rPr>
        <w:t>制定、实施</w:t>
      </w:r>
      <w:r>
        <w:rPr>
          <w:rFonts w:hint="eastAsia" w:ascii="仿宋_GB2312" w:hAnsi="Calibri" w:eastAsia="仿宋_GB2312"/>
          <w:sz w:val="32"/>
          <w:szCs w:val="32"/>
        </w:rPr>
        <w:t>本单位</w:t>
      </w:r>
      <w:r>
        <w:rPr>
          <w:rFonts w:ascii="仿宋_GB2312" w:eastAsia="仿宋_GB2312"/>
          <w:sz w:val="32"/>
          <w:szCs w:val="32"/>
        </w:rPr>
        <w:t>生产安全</w:t>
      </w:r>
      <w:r>
        <w:rPr>
          <w:rFonts w:hint="eastAsia" w:ascii="仿宋_GB2312" w:hAnsi="Calibri" w:eastAsia="仿宋_GB2312"/>
          <w:sz w:val="32"/>
          <w:szCs w:val="32"/>
        </w:rPr>
        <w:t>事故应急预案并依法进行</w:t>
      </w:r>
      <w:r>
        <w:rPr>
          <w:rFonts w:ascii="仿宋_GB2312" w:eastAsia="仿宋_GB2312"/>
          <w:sz w:val="32"/>
          <w:szCs w:val="32"/>
        </w:rPr>
        <w:t>应急预案备案</w:t>
      </w:r>
      <w:r>
        <w:rPr>
          <w:rFonts w:hint="eastAsia" w:ascii="仿宋_GB2312" w:eastAsia="仿宋_GB2312"/>
          <w:sz w:val="32"/>
          <w:szCs w:val="32"/>
        </w:rPr>
        <w:t>；</w:t>
      </w:r>
      <w:r>
        <w:rPr>
          <w:rFonts w:hint="eastAsia" w:ascii="仿宋_GB2312" w:hAnsi="Calibri" w:eastAsia="仿宋_GB2312"/>
          <w:sz w:val="32"/>
          <w:szCs w:val="32"/>
        </w:rPr>
        <w:t>是否定期组织应急预案培训演练；是否</w:t>
      </w:r>
      <w:r>
        <w:rPr>
          <w:rFonts w:ascii="仿宋_GB2312" w:eastAsia="仿宋_GB2312"/>
          <w:sz w:val="32"/>
          <w:szCs w:val="32"/>
        </w:rPr>
        <w:t>按照规定报告生产安全事故</w:t>
      </w:r>
      <w:r>
        <w:rPr>
          <w:rFonts w:hint="eastAsia" w:ascii="仿宋_GB2312" w:hAnsi="Calibri" w:eastAsia="仿宋_GB2312"/>
          <w:sz w:val="32"/>
          <w:szCs w:val="32"/>
        </w:rPr>
        <w:t>。</w:t>
      </w:r>
    </w:p>
    <w:p>
      <w:pPr>
        <w:autoSpaceDE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（七）对企业取得许可后的监督检查。企业是否严格依照有关安全生产行政许可的范围、事项从事相关的生产经营活动；是否按照法定期限、条件办理行政许可延续、变更手续。</w:t>
      </w:r>
    </w:p>
    <w:p>
      <w:pPr>
        <w:autoSpaceDE w:val="0"/>
        <w:adjustRightInd w:val="0"/>
        <w:snapToGrid w:val="0"/>
        <w:spacing w:line="560" w:lineRule="exact"/>
        <w:ind w:firstLine="640" w:firstLineChars="200"/>
        <w:rPr>
          <w:rFonts w:eastAsia="仿宋_GB2312"/>
          <w:sz w:val="32"/>
          <w:szCs w:val="32"/>
        </w:rPr>
      </w:pPr>
      <w:r>
        <w:rPr>
          <w:rFonts w:hint="eastAsia" w:ascii="仿宋_GB2312" w:hAnsi="Calibri" w:eastAsia="仿宋_GB2312"/>
          <w:sz w:val="32"/>
          <w:szCs w:val="32"/>
        </w:rPr>
        <w:t>（八）重点领域专项治理落实情况的执法检查。涉及有限空间作业、粉尘防爆企业是否落实专项治理相关措施。</w:t>
      </w:r>
    </w:p>
    <w:p>
      <w:pPr>
        <w:autoSpaceDE w:val="0"/>
        <w:adjustRightInd w:val="0"/>
        <w:snapToGrid w:val="0"/>
        <w:spacing w:line="560" w:lineRule="exact"/>
        <w:ind w:firstLine="640" w:firstLineChars="200"/>
        <w:rPr>
          <w:rFonts w:eastAsia="仿宋_GB2312"/>
          <w:sz w:val="32"/>
          <w:szCs w:val="32"/>
        </w:rPr>
      </w:pPr>
      <w:r>
        <w:rPr>
          <w:rFonts w:ascii="仿宋_GB2312" w:eastAsia="仿宋_GB2312"/>
          <w:sz w:val="32"/>
          <w:szCs w:val="32"/>
        </w:rPr>
        <w:t>（九）重大危险源</w:t>
      </w:r>
      <w:r>
        <w:rPr>
          <w:rFonts w:hint="eastAsia" w:ascii="仿宋_GB2312" w:eastAsia="仿宋_GB2312"/>
          <w:sz w:val="32"/>
          <w:szCs w:val="32"/>
        </w:rPr>
        <w:t>安全监管的执法检查。企业是否对重大危险源</w:t>
      </w:r>
      <w:r>
        <w:rPr>
          <w:rFonts w:ascii="仿宋_GB2312" w:eastAsia="仿宋_GB2312"/>
          <w:sz w:val="32"/>
          <w:szCs w:val="32"/>
        </w:rPr>
        <w:t>登记建档</w:t>
      </w:r>
      <w:r>
        <w:rPr>
          <w:rFonts w:hint="eastAsia" w:ascii="仿宋_GB2312" w:eastAsia="仿宋_GB2312"/>
          <w:sz w:val="32"/>
          <w:szCs w:val="32"/>
        </w:rPr>
        <w:t>，进行</w:t>
      </w:r>
      <w:r>
        <w:rPr>
          <w:rFonts w:ascii="仿宋_GB2312" w:eastAsia="仿宋_GB2312"/>
          <w:sz w:val="32"/>
          <w:szCs w:val="32"/>
        </w:rPr>
        <w:t>定期检测、评估、监控</w:t>
      </w:r>
      <w:r>
        <w:rPr>
          <w:rFonts w:hint="eastAsia" w:ascii="仿宋_GB2312" w:eastAsia="仿宋_GB2312"/>
          <w:sz w:val="32"/>
          <w:szCs w:val="32"/>
        </w:rPr>
        <w:t>并</w:t>
      </w:r>
      <w:r>
        <w:rPr>
          <w:rFonts w:ascii="仿宋_GB2312" w:eastAsia="仿宋_GB2312"/>
          <w:sz w:val="32"/>
          <w:szCs w:val="32"/>
        </w:rPr>
        <w:t>制定应急预案</w:t>
      </w:r>
      <w:r>
        <w:rPr>
          <w:rFonts w:hint="eastAsia" w:ascii="仿宋_GB2312" w:eastAsia="仿宋_GB2312"/>
          <w:sz w:val="32"/>
          <w:szCs w:val="32"/>
        </w:rPr>
        <w:t>。</w:t>
      </w:r>
    </w:p>
    <w:p>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四、分级分类监管</w:t>
      </w:r>
    </w:p>
    <w:p>
      <w:pPr>
        <w:autoSpaceDE w:val="0"/>
        <w:spacing w:line="560" w:lineRule="exact"/>
        <w:ind w:firstLine="643" w:firstLineChars="200"/>
        <w:rPr>
          <w:rFonts w:ascii="仿宋_GB2312" w:hAnsi="Calibri" w:eastAsia="仿宋_GB2312"/>
          <w:sz w:val="32"/>
          <w:szCs w:val="32"/>
        </w:rPr>
      </w:pPr>
      <w:r>
        <w:rPr>
          <w:rFonts w:hint="eastAsia" w:ascii="仿宋_GB2312" w:hAnsi="Calibri" w:eastAsia="仿宋_GB2312"/>
          <w:b/>
          <w:bCs/>
          <w:sz w:val="32"/>
          <w:szCs w:val="32"/>
        </w:rPr>
        <w:t>（一）将监管对象分为重点监管单位和一般监管单位</w:t>
      </w:r>
    </w:p>
    <w:p>
      <w:pPr>
        <w:autoSpaceDE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重点监管单位是指：粉尘涉爆、含</w:t>
      </w:r>
      <w:r>
        <w:rPr>
          <w:rFonts w:hint="eastAsia" w:ascii="仿宋" w:hAnsi="仿宋" w:eastAsia="仿宋"/>
          <w:sz w:val="32"/>
          <w:szCs w:val="32"/>
        </w:rPr>
        <w:t>危险化学品使用或储存的工贸行业单位、</w:t>
      </w:r>
      <w:r>
        <w:rPr>
          <w:rFonts w:hint="eastAsia" w:ascii="仿宋_GB2312" w:hAnsi="Calibri" w:eastAsia="仿宋_GB2312"/>
          <w:sz w:val="32"/>
          <w:szCs w:val="32"/>
        </w:rPr>
        <w:t>烟花爆竹批发企业、近三年发生亡人事故单位；</w:t>
      </w:r>
    </w:p>
    <w:p>
      <w:pPr>
        <w:autoSpaceDE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一般监管单位是指：上述以外的其他监管单位。</w:t>
      </w:r>
    </w:p>
    <w:p>
      <w:pPr>
        <w:autoSpaceDE w:val="0"/>
        <w:spacing w:line="560" w:lineRule="exact"/>
        <w:ind w:firstLine="643" w:firstLineChars="200"/>
        <w:rPr>
          <w:rFonts w:ascii="仿宋_GB2312" w:hAnsi="Calibri" w:eastAsia="仿宋_GB2312"/>
          <w:b/>
          <w:bCs/>
          <w:sz w:val="32"/>
          <w:szCs w:val="32"/>
        </w:rPr>
      </w:pPr>
      <w:r>
        <w:rPr>
          <w:rFonts w:hint="eastAsia" w:ascii="仿宋_GB2312" w:hAnsi="Calibri" w:eastAsia="仿宋_GB2312"/>
          <w:b/>
          <w:bCs/>
          <w:sz w:val="32"/>
          <w:szCs w:val="32"/>
        </w:rPr>
        <w:t>（二）检查单位数量</w:t>
      </w:r>
    </w:p>
    <w:p>
      <w:pPr>
        <w:autoSpaceDE w:val="0"/>
        <w:spacing w:line="560" w:lineRule="exact"/>
        <w:ind w:firstLine="640" w:firstLineChars="200"/>
        <w:rPr>
          <w:rFonts w:eastAsia="仿宋_GB2312"/>
          <w:sz w:val="32"/>
          <w:szCs w:val="32"/>
        </w:rPr>
      </w:pPr>
      <w:r>
        <w:rPr>
          <w:rFonts w:hint="eastAsia" w:ascii="仿宋_GB2312" w:hAnsi="Calibri" w:eastAsia="仿宋_GB2312"/>
          <w:sz w:val="32"/>
          <w:szCs w:val="32"/>
        </w:rPr>
        <w:t>区本级2022年度直接监管的重点单位19家，一般单位88家（按20%比例双随机抽查抽查一般单位17家），市局列入2家“双随机”范围的除外。</w:t>
      </w:r>
    </w:p>
    <w:p>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五、重点监管执法对象及频次</w:t>
      </w:r>
    </w:p>
    <w:p>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按照分类分级实施安全监管执法的要求，由工贸烟花股执法人员组成执法组，聘请相关专家或专业技术人员协助，全年直接监管执法单位21家。具体安排如下：</w:t>
      </w:r>
    </w:p>
    <w:p>
      <w:pPr>
        <w:adjustRightInd w:val="0"/>
        <w:snapToGrid w:val="0"/>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（一）直接监管执法</w:t>
      </w:r>
    </w:p>
    <w:tbl>
      <w:tblPr>
        <w:tblStyle w:val="5"/>
        <w:tblW w:w="9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17"/>
        <w:gridCol w:w="5059"/>
        <w:gridCol w:w="696"/>
        <w:gridCol w:w="954"/>
        <w:gridCol w:w="1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序号</w:t>
            </w:r>
          </w:p>
        </w:tc>
        <w:tc>
          <w:tcPr>
            <w:tcW w:w="5059" w:type="dxa"/>
            <w:tcBorders>
              <w:top w:val="single" w:color="000000" w:sz="4" w:space="0"/>
              <w:left w:val="nil"/>
              <w:bottom w:val="single" w:color="000000" w:sz="4" w:space="0"/>
              <w:right w:val="single" w:color="auto" w:sz="4" w:space="0"/>
            </w:tcBorders>
            <w:vAlign w:val="center"/>
          </w:tcPr>
          <w:p>
            <w:pPr>
              <w:widowControl/>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2022年计划执法单位</w:t>
            </w:r>
          </w:p>
        </w:tc>
        <w:tc>
          <w:tcPr>
            <w:tcW w:w="696" w:type="dxa"/>
            <w:tcBorders>
              <w:top w:val="single" w:color="000000" w:sz="4" w:space="0"/>
              <w:left w:val="nil"/>
              <w:bottom w:val="single" w:color="000000" w:sz="4" w:space="0"/>
              <w:right w:val="single" w:color="auto" w:sz="4" w:space="0"/>
            </w:tcBorders>
            <w:vAlign w:val="center"/>
          </w:tcPr>
          <w:p>
            <w:pPr>
              <w:widowControl/>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执法频次</w:t>
            </w:r>
          </w:p>
        </w:tc>
        <w:tc>
          <w:tcPr>
            <w:tcW w:w="95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等级分类</w:t>
            </w:r>
          </w:p>
        </w:tc>
        <w:tc>
          <w:tcPr>
            <w:tcW w:w="160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检查人员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5059" w:type="dxa"/>
            <w:tcBorders>
              <w:top w:val="single" w:color="000000"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岳阳市九原复合材料有限公司</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restart"/>
            <w:tcBorders>
              <w:top w:val="nil"/>
              <w:left w:val="nil"/>
              <w:bottom w:val="single" w:color="000000" w:sz="4" w:space="0"/>
              <w:right w:val="single" w:color="000000" w:sz="4" w:space="0"/>
            </w:tcBorders>
          </w:tcPr>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李太平</w:t>
            </w:r>
          </w:p>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赵  华</w:t>
            </w:r>
          </w:p>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王志超</w:t>
            </w: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p>
            <w:pPr>
              <w:widowControl/>
              <w:rPr>
                <w:rFonts w:ascii="仿宋_GB2312" w:hAnsi="宋体" w:eastAsia="仿宋_GB2312" w:cs="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5059" w:type="dxa"/>
            <w:tcBorders>
              <w:top w:val="single" w:color="000000" w:sz="4" w:space="0"/>
              <w:left w:val="nil"/>
              <w:bottom w:val="single" w:color="000000" w:sz="4" w:space="0"/>
              <w:right w:val="single" w:color="auto" w:sz="4" w:space="0"/>
            </w:tcBorders>
          </w:tcPr>
          <w:p>
            <w:pPr>
              <w:widowControl/>
              <w:spacing w:before="120" w:after="120"/>
              <w:textAlignment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岳阳成成油化科技有限公司</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5059" w:type="dxa"/>
            <w:tcBorders>
              <w:top w:val="single" w:color="000000"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岳阳鼎格云天环保科技有限公司</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w:t>
            </w:r>
          </w:p>
        </w:tc>
        <w:tc>
          <w:tcPr>
            <w:tcW w:w="5059" w:type="dxa"/>
            <w:tcBorders>
              <w:top w:val="single" w:color="000000"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湖南尤特尔生化有限公司</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5059" w:type="dxa"/>
            <w:tcBorders>
              <w:top w:val="single" w:color="000000"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湖南中宝石化有限公司</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w:t>
            </w:r>
          </w:p>
        </w:tc>
        <w:tc>
          <w:tcPr>
            <w:tcW w:w="5059" w:type="dxa"/>
            <w:tcBorders>
              <w:top w:val="single" w:color="000000"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湖南鼎诺新材料科技有限公司</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w:t>
            </w:r>
          </w:p>
        </w:tc>
        <w:tc>
          <w:tcPr>
            <w:tcW w:w="5059" w:type="dxa"/>
            <w:tcBorders>
              <w:top w:val="single" w:color="000000"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岳阳凯达科技有限公司</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8</w:t>
            </w:r>
          </w:p>
        </w:tc>
        <w:tc>
          <w:tcPr>
            <w:tcW w:w="5059" w:type="dxa"/>
            <w:tcBorders>
              <w:top w:val="single" w:color="000000"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岳阳长旺化工有限公司</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w:t>
            </w:r>
          </w:p>
        </w:tc>
        <w:tc>
          <w:tcPr>
            <w:tcW w:w="5059" w:type="dxa"/>
            <w:tcBorders>
              <w:top w:val="single" w:color="000000"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岳阳安泰起重设备有限公司</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w:t>
            </w:r>
          </w:p>
        </w:tc>
        <w:tc>
          <w:tcPr>
            <w:tcW w:w="5059" w:type="dxa"/>
            <w:tcBorders>
              <w:top w:val="single" w:color="000000"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岳阳市云溪区云联化工厂</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11</w:t>
            </w:r>
          </w:p>
        </w:tc>
        <w:tc>
          <w:tcPr>
            <w:tcW w:w="5059" w:type="dxa"/>
            <w:tcBorders>
              <w:top w:val="single" w:color="000000"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岳阳钱昌晟化工有限公司</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12</w:t>
            </w:r>
          </w:p>
        </w:tc>
        <w:tc>
          <w:tcPr>
            <w:tcW w:w="5059" w:type="dxa"/>
            <w:tcBorders>
              <w:top w:val="single" w:color="000000" w:sz="4" w:space="0"/>
              <w:left w:val="nil"/>
              <w:bottom w:val="single" w:color="000000" w:sz="4" w:space="0"/>
              <w:right w:val="single" w:color="auto" w:sz="4" w:space="0"/>
            </w:tcBorders>
          </w:tcPr>
          <w:p>
            <w:pPr>
              <w:widowControl/>
              <w:spacing w:before="120" w:after="120"/>
              <w:textAlignment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岳阳市云溪区振发化工厂</w:t>
            </w:r>
          </w:p>
        </w:tc>
        <w:tc>
          <w:tcPr>
            <w:tcW w:w="696" w:type="dxa"/>
            <w:tcBorders>
              <w:top w:val="single" w:color="000000"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p>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13</w:t>
            </w:r>
          </w:p>
        </w:tc>
        <w:tc>
          <w:tcPr>
            <w:tcW w:w="5059" w:type="dxa"/>
            <w:tcBorders>
              <w:top w:val="single" w:color="000000" w:sz="4" w:space="0"/>
              <w:left w:val="nil"/>
              <w:bottom w:val="single" w:color="000000" w:sz="4" w:space="0"/>
              <w:right w:val="single" w:color="auto" w:sz="4" w:space="0"/>
            </w:tcBorders>
          </w:tcPr>
          <w:p>
            <w:pPr>
              <w:widowControl/>
              <w:spacing w:before="120" w:after="120"/>
              <w:textAlignment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岳阳市云溪区华维化工贸易有限公司</w:t>
            </w:r>
          </w:p>
        </w:tc>
        <w:tc>
          <w:tcPr>
            <w:tcW w:w="696" w:type="dxa"/>
            <w:tcBorders>
              <w:top w:val="single" w:color="000000" w:sz="4" w:space="0"/>
              <w:left w:val="nil"/>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auto"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14</w:t>
            </w:r>
          </w:p>
        </w:tc>
        <w:tc>
          <w:tcPr>
            <w:tcW w:w="5059" w:type="dxa"/>
            <w:tcBorders>
              <w:top w:val="single" w:color="000000" w:sz="4" w:space="0"/>
              <w:left w:val="nil"/>
              <w:bottom w:val="single" w:color="auto"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岳阳市云溪区云兴矿业有限公司</w:t>
            </w:r>
          </w:p>
        </w:tc>
        <w:tc>
          <w:tcPr>
            <w:tcW w:w="696" w:type="dxa"/>
            <w:tcBorders>
              <w:top w:val="single" w:color="000000" w:sz="4" w:space="0"/>
              <w:left w:val="nil"/>
              <w:bottom w:val="single" w:color="auto"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auto"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auto" w:sz="4" w:space="0"/>
              <w:left w:val="single" w:color="000000" w:sz="4" w:space="0"/>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15</w:t>
            </w:r>
          </w:p>
        </w:tc>
        <w:tc>
          <w:tcPr>
            <w:tcW w:w="5059" w:type="dxa"/>
            <w:tcBorders>
              <w:top w:val="single" w:color="auto" w:sz="4" w:space="0"/>
              <w:left w:val="nil"/>
              <w:bottom w:val="single" w:color="000000"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岳阳市湘粤金鑫化工厂</w:t>
            </w:r>
          </w:p>
        </w:tc>
        <w:tc>
          <w:tcPr>
            <w:tcW w:w="696" w:type="dxa"/>
            <w:tcBorders>
              <w:top w:val="single" w:color="auto" w:sz="4" w:space="0"/>
              <w:left w:val="nil"/>
              <w:bottom w:val="single" w:color="000000"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auto" w:sz="4" w:space="0"/>
              <w:left w:val="nil"/>
              <w:bottom w:val="single" w:color="000000"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auto"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16</w:t>
            </w:r>
          </w:p>
        </w:tc>
        <w:tc>
          <w:tcPr>
            <w:tcW w:w="5059" w:type="dxa"/>
            <w:tcBorders>
              <w:top w:val="single" w:color="000000" w:sz="4" w:space="0"/>
              <w:left w:val="nil"/>
              <w:bottom w:val="single" w:color="auto"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岳阳市青山油剂有限公司</w:t>
            </w:r>
          </w:p>
        </w:tc>
        <w:tc>
          <w:tcPr>
            <w:tcW w:w="696" w:type="dxa"/>
            <w:tcBorders>
              <w:top w:val="single" w:color="000000" w:sz="4" w:space="0"/>
              <w:left w:val="nil"/>
              <w:bottom w:val="single" w:color="auto"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auto"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auto"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17</w:t>
            </w:r>
          </w:p>
        </w:tc>
        <w:tc>
          <w:tcPr>
            <w:tcW w:w="5059" w:type="dxa"/>
            <w:tcBorders>
              <w:top w:val="single" w:color="000000" w:sz="4" w:space="0"/>
              <w:left w:val="nil"/>
              <w:bottom w:val="single" w:color="auto"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岳阳瑞森达橡塑工业有限公司</w:t>
            </w:r>
          </w:p>
        </w:tc>
        <w:tc>
          <w:tcPr>
            <w:tcW w:w="696" w:type="dxa"/>
            <w:tcBorders>
              <w:top w:val="single" w:color="000000" w:sz="4" w:space="0"/>
              <w:left w:val="nil"/>
              <w:bottom w:val="single" w:color="auto"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auto"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717" w:type="dxa"/>
            <w:tcBorders>
              <w:top w:val="single" w:color="000000" w:sz="4" w:space="0"/>
              <w:left w:val="single" w:color="000000" w:sz="4" w:space="0"/>
              <w:bottom w:val="single" w:color="auto"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18</w:t>
            </w:r>
          </w:p>
        </w:tc>
        <w:tc>
          <w:tcPr>
            <w:tcW w:w="5059" w:type="dxa"/>
            <w:tcBorders>
              <w:top w:val="single" w:color="000000" w:sz="4" w:space="0"/>
              <w:left w:val="nil"/>
              <w:bottom w:val="single" w:color="auto"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岳阳市恒忠机械工程技术有限公司</w:t>
            </w:r>
          </w:p>
        </w:tc>
        <w:tc>
          <w:tcPr>
            <w:tcW w:w="696" w:type="dxa"/>
            <w:tcBorders>
              <w:top w:val="single" w:color="000000"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04" w:hRule="atLeast"/>
          <w:jc w:val="center"/>
        </w:trPr>
        <w:tc>
          <w:tcPr>
            <w:tcW w:w="717" w:type="dxa"/>
            <w:tcBorders>
              <w:top w:val="single" w:color="000000" w:sz="4" w:space="0"/>
              <w:left w:val="single" w:color="000000" w:sz="4" w:space="0"/>
              <w:bottom w:val="single" w:color="auto"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19</w:t>
            </w:r>
          </w:p>
        </w:tc>
        <w:tc>
          <w:tcPr>
            <w:tcW w:w="5059" w:type="dxa"/>
            <w:tcBorders>
              <w:top w:val="single" w:color="000000" w:sz="4" w:space="0"/>
              <w:left w:val="nil"/>
              <w:bottom w:val="single" w:color="auto" w:sz="4" w:space="0"/>
              <w:right w:val="single" w:color="auto" w:sz="4" w:space="0"/>
            </w:tcBorders>
          </w:tcPr>
          <w:p>
            <w:pPr>
              <w:widowControl/>
              <w:spacing w:before="120" w:after="12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岳阳岳化机械有限责任公司</w:t>
            </w:r>
          </w:p>
        </w:tc>
        <w:tc>
          <w:tcPr>
            <w:tcW w:w="696" w:type="dxa"/>
            <w:tcBorders>
              <w:top w:val="single" w:color="000000" w:sz="4" w:space="0"/>
              <w:left w:val="nil"/>
              <w:bottom w:val="single" w:color="auto" w:sz="4" w:space="0"/>
              <w:right w:val="single" w:color="auto"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auto" w:sz="4" w:space="0"/>
              <w:right w:val="single" w:color="000000" w:sz="4" w:space="0"/>
            </w:tcBorders>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18" w:hRule="atLeast"/>
          <w:jc w:val="center"/>
        </w:trPr>
        <w:tc>
          <w:tcPr>
            <w:tcW w:w="7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20</w:t>
            </w:r>
          </w:p>
        </w:tc>
        <w:tc>
          <w:tcPr>
            <w:tcW w:w="5059" w:type="dxa"/>
            <w:tcBorders>
              <w:top w:val="single" w:color="000000" w:sz="4" w:space="0"/>
              <w:left w:val="nil"/>
              <w:bottom w:val="single" w:color="000000" w:sz="4" w:space="0"/>
              <w:right w:val="single" w:color="auto" w:sz="4" w:space="0"/>
            </w:tcBorders>
            <w:vAlign w:val="center"/>
          </w:tcPr>
          <w:p>
            <w:pPr>
              <w:widowControl/>
              <w:spacing w:before="120" w:after="120"/>
              <w:textAlignment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云溪区志安烟花鞭炮批发公司</w:t>
            </w:r>
          </w:p>
        </w:tc>
        <w:tc>
          <w:tcPr>
            <w:tcW w:w="696" w:type="dxa"/>
            <w:tcBorders>
              <w:top w:val="single" w:color="000000" w:sz="4" w:space="0"/>
              <w:left w:val="nil"/>
              <w:bottom w:val="single" w:color="000000"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7" w:hRule="atLeast"/>
          <w:jc w:val="center"/>
        </w:trPr>
        <w:tc>
          <w:tcPr>
            <w:tcW w:w="717"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21</w:t>
            </w:r>
          </w:p>
        </w:tc>
        <w:tc>
          <w:tcPr>
            <w:tcW w:w="5059" w:type="dxa"/>
            <w:tcBorders>
              <w:top w:val="single" w:color="000000" w:sz="4" w:space="0"/>
              <w:left w:val="nil"/>
              <w:bottom w:val="single" w:color="auto" w:sz="4" w:space="0"/>
              <w:right w:val="single" w:color="auto" w:sz="4" w:space="0"/>
            </w:tcBorders>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云溪区众鑫烟花鞭炮批发公司</w:t>
            </w:r>
          </w:p>
        </w:tc>
        <w:tc>
          <w:tcPr>
            <w:tcW w:w="696" w:type="dxa"/>
            <w:tcBorders>
              <w:top w:val="single" w:color="000000"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2次</w:t>
            </w:r>
          </w:p>
        </w:tc>
        <w:tc>
          <w:tcPr>
            <w:tcW w:w="954" w:type="dxa"/>
            <w:tcBorders>
              <w:top w:val="single" w:color="000000"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w:t>
            </w:r>
          </w:p>
        </w:tc>
        <w:tc>
          <w:tcPr>
            <w:tcW w:w="1604" w:type="dxa"/>
            <w:vMerge w:val="continue"/>
            <w:tcBorders>
              <w:top w:val="nil"/>
              <w:left w:val="nil"/>
              <w:bottom w:val="single" w:color="000000" w:sz="4" w:space="0"/>
              <w:right w:val="single" w:color="000000" w:sz="4" w:space="0"/>
            </w:tcBorders>
            <w:vAlign w:val="center"/>
          </w:tcPr>
          <w:p>
            <w:pPr>
              <w:widowControl/>
              <w:jc w:val="left"/>
              <w:rPr>
                <w:rFonts w:ascii="仿宋" w:hAnsi="仿宋" w:eastAsia="仿宋"/>
                <w:sz w:val="32"/>
                <w:szCs w:val="32"/>
              </w:rPr>
            </w:pPr>
          </w:p>
        </w:tc>
      </w:tr>
    </w:tbl>
    <w:p>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六、一般企业“双随机”抽查情况</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（一）市局将岳阳东方雨虹防水材料有限公司、岳阳永兴建筑安装检修有限公司纳入市级“双随机”抽查名单；</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（二）按照市局要求一般企业库实施“双随机”抽查名单年度不少于20%，被抽查的企业年度检查不少于一次；</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（三）委托镇（街道）经济统计与应急事务中心和绿色化工高新区开发区管委会安环部监管的企业：</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1.绿色化工高新区开发区管委会安环部执法企业名单：岳阳虎城机械制造有限公司、岳阳市康源邦尔生物技术有限责任公司、岳阳凯力母粒有限公司、岳阳市云盛全装科技有限公司、岳阳东昇利龙包装泡沫有限公司、岳阳众兴化工有限公司、岳阳市云溪区永泰合成聚丙烯厂。</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2.委托陆城镇经济统计与应急事务中心行政执法名单：岳阳片片香食品有限公司、岳阳宏发石墨设备厂、岳阳吟香阁食品有限公司、岳阳顺兴伟业工贸有限公司、明威环保建材有限公司、一味槟榔食品有限公司、谢丽环保砖厂、岳阳深恒环保科技有限公司、湖南淳湘农牧科技有限公司、湖南弘创运动有限责任公司、湖南济海物流有限公司。</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3.委托路口镇经济统计与应急事务中心行政执法名单：岳阳宇环环保砖厂、云溪区茗鑫茶叶专业合作社、岳阳市闯江湖鱼饲加工厂、岳阳市伊美香食品有限公司、云溪区王龙环保砖厂、岳阳市云溪区亿展环保砖厂、云溪区福源石材加工厂、岳阳市云溪区珍味米粉加工有限公司、岳阳旺达环保节能有限公司、岳阳瑞华工贸有限公司、云溪区雄伟矿石粉厂、云溪区湘临茶厂、岳阳渔我愿食品有限公司、岳阳市升隆新型墙体材料科技有限公司、岳阳联营化工厂、湖南艾馨园中药材股份有限公司。</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4.委托长岭街道经济统计与应急事务中心行政执法名单：云溪茂林木材加工厂、云溪区新海免烧砖厂、岳阳镭洋电子有限公司、岳阳市春江食品厂、岳阳建安石化配件有限公司、文桥环保砖厂、紫金服装有限公司、小华木材厂、鸿运服装厂、云溪区欣昌木业、岳阳湘诚碳酸素制品有限公司、岳阳长岭思迪瑞化工有限公司、岳阳长炼机电工程技术有限公司、岳阳长炼兴业印刷有限公司、岳阳长炼兴长安装防腐工程有限公司、岳阳长炼兴欣服装有限公司、岳阳长岭设备研究所。</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5.委托云溪街道经济统计与应急事务中心行政执法名单：湖南瑞辰鼎盛有限公司、岳阳市云溪区同心同力环保砖厂、云溪区志刚环保砖厂、岳阳市湘山红食品有限公司、云溪区雄志环保砖厂、湖南优良铺子食品有限公司、岳阳市智博环保建材有限公司、岳阳市云溪区正中绞扣钢丝厂、岳阳市正鑫工贸有限公司、云溪区凌云环保砖厂、云溪区桃李页岩空心砖厂、云溪区红峰模压彩瓦厂、岳阳传承石材有限公司、云溪区宏大环保砖厂、云溪区朱冲煤灰砖厂、岳阳市云一筷业有限公司、云溪区其兵竹木经营加工厂、云溪区成良木材经营加工部、岳阳市润泽矿泉水厂、岳阳市雨荷莲业、岳阳泰艺检维修有限责任公司、岳阳华阳工程有限公司、岳阳橡达安装检维修有限公司、湖南博瑞康新材料有限公司、岳阳岳化冠翔检修检测安装有限公司、岳阳岳化创源检修安装公司、岳阳云电检维修公司、岳阳隆兴实业公司、岳阳益嘉包装有限责任公司、岳阳锦泓科技开发有限公司、岳阳华达锦纶有限公司、岳阳林联化工化纤有限公司、岳阳九华锦纶有限公司、岳阳力帆化工有限责任公司、岳阳雅达塑胶有限公司。</w:t>
      </w:r>
    </w:p>
    <w:p>
      <w:pPr>
        <w:ind w:firstLine="640" w:firstLineChars="200"/>
        <w:rPr>
          <w:rFonts w:ascii="黑体" w:hAnsi="黑体" w:eastAsia="黑体"/>
          <w:sz w:val="32"/>
          <w:szCs w:val="32"/>
        </w:rPr>
      </w:pPr>
      <w:r>
        <w:rPr>
          <w:rFonts w:hint="eastAsia" w:ascii="黑体" w:hAnsi="黑体" w:eastAsia="黑体"/>
          <w:sz w:val="32"/>
          <w:szCs w:val="32"/>
        </w:rPr>
        <w:t>七、工作要求</w:t>
      </w:r>
    </w:p>
    <w:p>
      <w:pPr>
        <w:rPr>
          <w:rFonts w:ascii="仿宋_GB2312" w:hAnsi="Calibri" w:eastAsia="仿宋_GB2312"/>
          <w:sz w:val="32"/>
          <w:szCs w:val="32"/>
        </w:rPr>
      </w:pPr>
      <w:r>
        <w:rPr>
          <w:rFonts w:hint="eastAsia" w:ascii="仿宋_GB2312" w:hAnsi="Calibri" w:eastAsia="仿宋_GB2312"/>
          <w:sz w:val="32"/>
          <w:szCs w:val="32"/>
        </w:rPr>
        <w:t xml:space="preserve">   （一）要认真制订现场检查方案，做好检查前各项准备工作。</w:t>
      </w:r>
    </w:p>
    <w:p>
      <w:pPr>
        <w:rPr>
          <w:rFonts w:ascii="仿宋_GB2312" w:hAnsi="Calibri" w:eastAsia="仿宋_GB2312"/>
          <w:sz w:val="32"/>
          <w:szCs w:val="32"/>
        </w:rPr>
      </w:pPr>
      <w:r>
        <w:rPr>
          <w:rFonts w:hint="eastAsia" w:ascii="仿宋_GB2312" w:hAnsi="Calibri" w:eastAsia="仿宋_GB2312"/>
          <w:sz w:val="32"/>
          <w:szCs w:val="32"/>
        </w:rPr>
        <w:t xml:space="preserve">   （二)要认真贯彻落实《安全生产行政执法规范用语指引》通知精神，加强安全生产行政执法现规范化建设。</w:t>
      </w:r>
    </w:p>
    <w:p>
      <w:pPr>
        <w:rPr>
          <w:rFonts w:ascii="仿宋_GB2312" w:hAnsi="Calibri" w:eastAsia="仿宋_GB2312"/>
          <w:sz w:val="32"/>
          <w:szCs w:val="32"/>
        </w:rPr>
      </w:pPr>
      <w:r>
        <w:rPr>
          <w:rFonts w:hint="eastAsia" w:ascii="仿宋_GB2312" w:hAnsi="Calibri" w:eastAsia="仿宋_GB2312"/>
          <w:sz w:val="32"/>
          <w:szCs w:val="32"/>
        </w:rPr>
        <w:t xml:space="preserve">   （三）严格执行中央八项规定精神和党风廉政建设规定，并接受监管检查对象的监督。</w:t>
      </w:r>
    </w:p>
    <w:p>
      <w:pPr>
        <w:spacing w:line="560" w:lineRule="exact"/>
        <w:rPr>
          <w:rFonts w:ascii="仿宋_GB2312" w:hAnsi="Calibri" w:eastAsia="仿宋_GB2312"/>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- 23 -</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- 23 -</w:t>
                    </w:r>
                    <w:r>
                      <w:rPr>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2A6BE1"/>
    <w:multiLevelType w:val="multilevel"/>
    <w:tmpl w:val="472A6BE1"/>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YTAwMDczYjY1N2QwMWRkOTJkMmFmZTU5MzlkOGQifQ=="/>
  </w:docVars>
  <w:rsids>
    <w:rsidRoot w:val="2F377404"/>
    <w:rsid w:val="00026470"/>
    <w:rsid w:val="000317C4"/>
    <w:rsid w:val="0003210E"/>
    <w:rsid w:val="00036109"/>
    <w:rsid w:val="0007253D"/>
    <w:rsid w:val="00085C2F"/>
    <w:rsid w:val="00086FD9"/>
    <w:rsid w:val="000A5B4C"/>
    <w:rsid w:val="000C0AB1"/>
    <w:rsid w:val="000C2ECC"/>
    <w:rsid w:val="000C6671"/>
    <w:rsid w:val="000C7084"/>
    <w:rsid w:val="000D3256"/>
    <w:rsid w:val="000F6A59"/>
    <w:rsid w:val="000F6B59"/>
    <w:rsid w:val="00101C4B"/>
    <w:rsid w:val="00117432"/>
    <w:rsid w:val="00121C0B"/>
    <w:rsid w:val="001259B4"/>
    <w:rsid w:val="00125F5F"/>
    <w:rsid w:val="0013038C"/>
    <w:rsid w:val="00146148"/>
    <w:rsid w:val="00147F6E"/>
    <w:rsid w:val="00153146"/>
    <w:rsid w:val="00180C68"/>
    <w:rsid w:val="00184049"/>
    <w:rsid w:val="0018479E"/>
    <w:rsid w:val="001B100C"/>
    <w:rsid w:val="001B59C1"/>
    <w:rsid w:val="001E0243"/>
    <w:rsid w:val="001F3957"/>
    <w:rsid w:val="00216A91"/>
    <w:rsid w:val="00232336"/>
    <w:rsid w:val="002323DC"/>
    <w:rsid w:val="00257B9E"/>
    <w:rsid w:val="00260421"/>
    <w:rsid w:val="002658D7"/>
    <w:rsid w:val="00270D2D"/>
    <w:rsid w:val="0027204A"/>
    <w:rsid w:val="00276222"/>
    <w:rsid w:val="00276A03"/>
    <w:rsid w:val="002823F6"/>
    <w:rsid w:val="002A505B"/>
    <w:rsid w:val="002C1948"/>
    <w:rsid w:val="002D5461"/>
    <w:rsid w:val="002E772D"/>
    <w:rsid w:val="002F1528"/>
    <w:rsid w:val="002F1D48"/>
    <w:rsid w:val="002F2EE6"/>
    <w:rsid w:val="002F3EF1"/>
    <w:rsid w:val="003010CB"/>
    <w:rsid w:val="00306150"/>
    <w:rsid w:val="00337169"/>
    <w:rsid w:val="00344880"/>
    <w:rsid w:val="003611DC"/>
    <w:rsid w:val="003772B6"/>
    <w:rsid w:val="00385E0B"/>
    <w:rsid w:val="003860AE"/>
    <w:rsid w:val="0039228D"/>
    <w:rsid w:val="003A57DA"/>
    <w:rsid w:val="003A5FAD"/>
    <w:rsid w:val="003B5F95"/>
    <w:rsid w:val="003C00DD"/>
    <w:rsid w:val="003C41C8"/>
    <w:rsid w:val="003C7BA4"/>
    <w:rsid w:val="003D648C"/>
    <w:rsid w:val="003D7609"/>
    <w:rsid w:val="003E06A4"/>
    <w:rsid w:val="00400C99"/>
    <w:rsid w:val="00402794"/>
    <w:rsid w:val="004219D1"/>
    <w:rsid w:val="00443904"/>
    <w:rsid w:val="00460A60"/>
    <w:rsid w:val="00462426"/>
    <w:rsid w:val="00467B3B"/>
    <w:rsid w:val="004734ED"/>
    <w:rsid w:val="00473CCD"/>
    <w:rsid w:val="004950D9"/>
    <w:rsid w:val="0049626C"/>
    <w:rsid w:val="004A19D8"/>
    <w:rsid w:val="004A574B"/>
    <w:rsid w:val="004A72B5"/>
    <w:rsid w:val="004C7BBB"/>
    <w:rsid w:val="00507E6F"/>
    <w:rsid w:val="005331D3"/>
    <w:rsid w:val="00535FE7"/>
    <w:rsid w:val="00550F7A"/>
    <w:rsid w:val="00551BA8"/>
    <w:rsid w:val="00580D68"/>
    <w:rsid w:val="00593C46"/>
    <w:rsid w:val="005A6AB6"/>
    <w:rsid w:val="005B3091"/>
    <w:rsid w:val="005B48B9"/>
    <w:rsid w:val="005B5974"/>
    <w:rsid w:val="005C2654"/>
    <w:rsid w:val="0060616A"/>
    <w:rsid w:val="00616B19"/>
    <w:rsid w:val="006274F5"/>
    <w:rsid w:val="00655294"/>
    <w:rsid w:val="00665217"/>
    <w:rsid w:val="00692488"/>
    <w:rsid w:val="006C340E"/>
    <w:rsid w:val="006D3A48"/>
    <w:rsid w:val="006D5859"/>
    <w:rsid w:val="006E0FBC"/>
    <w:rsid w:val="006F1C82"/>
    <w:rsid w:val="007028BA"/>
    <w:rsid w:val="00702C24"/>
    <w:rsid w:val="00714BCA"/>
    <w:rsid w:val="007216EA"/>
    <w:rsid w:val="007454A4"/>
    <w:rsid w:val="00752D74"/>
    <w:rsid w:val="007612E0"/>
    <w:rsid w:val="007648CC"/>
    <w:rsid w:val="00777591"/>
    <w:rsid w:val="00782026"/>
    <w:rsid w:val="0079045F"/>
    <w:rsid w:val="007A203E"/>
    <w:rsid w:val="007A3F5D"/>
    <w:rsid w:val="007B1FFB"/>
    <w:rsid w:val="007B65F8"/>
    <w:rsid w:val="007C2664"/>
    <w:rsid w:val="007C3067"/>
    <w:rsid w:val="007D1E67"/>
    <w:rsid w:val="007D7C69"/>
    <w:rsid w:val="007F5916"/>
    <w:rsid w:val="008034CA"/>
    <w:rsid w:val="00804A22"/>
    <w:rsid w:val="00824835"/>
    <w:rsid w:val="008301B8"/>
    <w:rsid w:val="008514F4"/>
    <w:rsid w:val="00854BCF"/>
    <w:rsid w:val="00872950"/>
    <w:rsid w:val="00893605"/>
    <w:rsid w:val="008A7894"/>
    <w:rsid w:val="008C13A0"/>
    <w:rsid w:val="008C242D"/>
    <w:rsid w:val="008D0D3B"/>
    <w:rsid w:val="008D36FA"/>
    <w:rsid w:val="008D46CA"/>
    <w:rsid w:val="008D6D0A"/>
    <w:rsid w:val="008F4BCB"/>
    <w:rsid w:val="008F4E0C"/>
    <w:rsid w:val="008F5142"/>
    <w:rsid w:val="008F6CF6"/>
    <w:rsid w:val="00905DED"/>
    <w:rsid w:val="0092081B"/>
    <w:rsid w:val="00936D41"/>
    <w:rsid w:val="0093713C"/>
    <w:rsid w:val="0093791D"/>
    <w:rsid w:val="00947A1C"/>
    <w:rsid w:val="009518FF"/>
    <w:rsid w:val="00967F48"/>
    <w:rsid w:val="00971D18"/>
    <w:rsid w:val="00986EEE"/>
    <w:rsid w:val="00992DB9"/>
    <w:rsid w:val="009A157B"/>
    <w:rsid w:val="009E1CDB"/>
    <w:rsid w:val="009E43D4"/>
    <w:rsid w:val="009E5308"/>
    <w:rsid w:val="009E5460"/>
    <w:rsid w:val="009F01A9"/>
    <w:rsid w:val="00A35D2F"/>
    <w:rsid w:val="00A43207"/>
    <w:rsid w:val="00A50926"/>
    <w:rsid w:val="00A534A3"/>
    <w:rsid w:val="00A553A2"/>
    <w:rsid w:val="00A744D6"/>
    <w:rsid w:val="00A86629"/>
    <w:rsid w:val="00AE171D"/>
    <w:rsid w:val="00AE1AC2"/>
    <w:rsid w:val="00B05B1E"/>
    <w:rsid w:val="00B06212"/>
    <w:rsid w:val="00B12E32"/>
    <w:rsid w:val="00B149D8"/>
    <w:rsid w:val="00B2264C"/>
    <w:rsid w:val="00B22C2F"/>
    <w:rsid w:val="00B64FB6"/>
    <w:rsid w:val="00B90010"/>
    <w:rsid w:val="00B96E56"/>
    <w:rsid w:val="00BA7F33"/>
    <w:rsid w:val="00BB2717"/>
    <w:rsid w:val="00BB2924"/>
    <w:rsid w:val="00BC5340"/>
    <w:rsid w:val="00BD2AF5"/>
    <w:rsid w:val="00BF53EF"/>
    <w:rsid w:val="00C036DE"/>
    <w:rsid w:val="00C3174C"/>
    <w:rsid w:val="00C54BBF"/>
    <w:rsid w:val="00C6545B"/>
    <w:rsid w:val="00C85D18"/>
    <w:rsid w:val="00C91E7B"/>
    <w:rsid w:val="00C93B4D"/>
    <w:rsid w:val="00CA0E6C"/>
    <w:rsid w:val="00CF5ADB"/>
    <w:rsid w:val="00D04D42"/>
    <w:rsid w:val="00D3051E"/>
    <w:rsid w:val="00D636DC"/>
    <w:rsid w:val="00D66654"/>
    <w:rsid w:val="00D81D2B"/>
    <w:rsid w:val="00D90C2C"/>
    <w:rsid w:val="00DA15D8"/>
    <w:rsid w:val="00DB066B"/>
    <w:rsid w:val="00DB639E"/>
    <w:rsid w:val="00DB79D5"/>
    <w:rsid w:val="00DD34C5"/>
    <w:rsid w:val="00DD4579"/>
    <w:rsid w:val="00DE1B95"/>
    <w:rsid w:val="00DE3385"/>
    <w:rsid w:val="00DE5FB8"/>
    <w:rsid w:val="00DE739D"/>
    <w:rsid w:val="00DF2B53"/>
    <w:rsid w:val="00DF54C0"/>
    <w:rsid w:val="00DF7578"/>
    <w:rsid w:val="00E15856"/>
    <w:rsid w:val="00E21D17"/>
    <w:rsid w:val="00E2644C"/>
    <w:rsid w:val="00E34711"/>
    <w:rsid w:val="00E50D70"/>
    <w:rsid w:val="00E6355B"/>
    <w:rsid w:val="00E76BBB"/>
    <w:rsid w:val="00E83CF9"/>
    <w:rsid w:val="00E83DFE"/>
    <w:rsid w:val="00E87132"/>
    <w:rsid w:val="00EA4BDF"/>
    <w:rsid w:val="00EB30B5"/>
    <w:rsid w:val="00EB79D6"/>
    <w:rsid w:val="00EC7BEB"/>
    <w:rsid w:val="00ED4EF7"/>
    <w:rsid w:val="00ED5496"/>
    <w:rsid w:val="00ED64F9"/>
    <w:rsid w:val="00EE1C7D"/>
    <w:rsid w:val="00EF1132"/>
    <w:rsid w:val="00EF44FE"/>
    <w:rsid w:val="00F06B03"/>
    <w:rsid w:val="00F353DE"/>
    <w:rsid w:val="00F40969"/>
    <w:rsid w:val="00F46484"/>
    <w:rsid w:val="00F5688F"/>
    <w:rsid w:val="00F5792A"/>
    <w:rsid w:val="00F75236"/>
    <w:rsid w:val="00F83537"/>
    <w:rsid w:val="00F94C3E"/>
    <w:rsid w:val="00F96F77"/>
    <w:rsid w:val="00FB62FA"/>
    <w:rsid w:val="00FB664D"/>
    <w:rsid w:val="00FC40D8"/>
    <w:rsid w:val="00FC7126"/>
    <w:rsid w:val="00FD0753"/>
    <w:rsid w:val="00FD5810"/>
    <w:rsid w:val="00FD7FFD"/>
    <w:rsid w:val="00FF53DF"/>
    <w:rsid w:val="00FF781C"/>
    <w:rsid w:val="06E758A2"/>
    <w:rsid w:val="0B5807E8"/>
    <w:rsid w:val="0B6C2B48"/>
    <w:rsid w:val="0EFD592E"/>
    <w:rsid w:val="187229F5"/>
    <w:rsid w:val="1BDD2DDC"/>
    <w:rsid w:val="22C407E5"/>
    <w:rsid w:val="2B4A1AA4"/>
    <w:rsid w:val="2C970D19"/>
    <w:rsid w:val="2D0E48E2"/>
    <w:rsid w:val="2DDD6BFF"/>
    <w:rsid w:val="2F377404"/>
    <w:rsid w:val="37CF580A"/>
    <w:rsid w:val="385201EA"/>
    <w:rsid w:val="38676F5C"/>
    <w:rsid w:val="3B476519"/>
    <w:rsid w:val="3CE14803"/>
    <w:rsid w:val="3CE539F7"/>
    <w:rsid w:val="3D932E36"/>
    <w:rsid w:val="3E66679D"/>
    <w:rsid w:val="3EC36AE2"/>
    <w:rsid w:val="40864F8F"/>
    <w:rsid w:val="46DF2D3D"/>
    <w:rsid w:val="49E008CD"/>
    <w:rsid w:val="549534E0"/>
    <w:rsid w:val="57342B3C"/>
    <w:rsid w:val="58F11E1D"/>
    <w:rsid w:val="612B76EB"/>
    <w:rsid w:val="67CD5013"/>
    <w:rsid w:val="705362D1"/>
    <w:rsid w:val="78280044"/>
    <w:rsid w:val="78570B41"/>
    <w:rsid w:val="78BD22C6"/>
    <w:rsid w:val="78DA7590"/>
    <w:rsid w:val="7FF446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8">
    <w:name w:val="Hyperlink"/>
    <w:basedOn w:val="7"/>
    <w:qFormat/>
    <w:uiPriority w:val="0"/>
    <w:rPr>
      <w:color w:val="0563C1" w:themeColor="hyperlink"/>
      <w:u w:val="single"/>
    </w:rPr>
  </w:style>
  <w:style w:type="character" w:customStyle="1" w:styleId="9">
    <w:name w:val="批注框文本 Char"/>
    <w:basedOn w:val="7"/>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F45490-B153-49BD-B3DB-ED283CCA60C9}">
  <ds:schemaRefs/>
</ds:datastoreItem>
</file>

<file path=docProps/app.xml><?xml version="1.0" encoding="utf-8"?>
<Properties xmlns="http://schemas.openxmlformats.org/officeDocument/2006/extended-properties" xmlns:vt="http://schemas.openxmlformats.org/officeDocument/2006/docPropsVTypes">
  <Template>Normal</Template>
  <Pages>16</Pages>
  <Words>7991</Words>
  <Characters>8178</Characters>
  <Lines>88</Lines>
  <Paragraphs>24</Paragraphs>
  <TotalTime>718</TotalTime>
  <ScaleCrop>false</ScaleCrop>
  <LinksUpToDate>false</LinksUpToDate>
  <CharactersWithSpaces>8213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2021-04-06T07:26:00Z</dcterms:created>
  <dc:creator>Administrator</dc:creator>
  <cp:lastModifiedBy>张志超</cp:lastModifiedBy>
  <cp:lastPrinted>2022-04-07T06:17:00Z</cp:lastPrinted>
  <dcterms:modified xsi:type="dcterms:W3CDTF">2023-01-12T09:15:26Z</dcterms:modified>
  <cp:revision>511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4ADA4456479245C49220CF008E1993A4</vt:lpwstr>
  </property>
</Properties>
</file>