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720" w:firstLineChars="200"/>
        <w:jc w:val="center"/>
        <w:rPr>
          <w:rFonts w:hint="eastAsia"/>
          <w:sz w:val="36"/>
          <w:szCs w:val="36"/>
          <w:lang w:val="en-US" w:eastAsia="zh-CN"/>
        </w:rPr>
      </w:pPr>
      <w:r>
        <w:rPr>
          <w:rFonts w:hint="eastAsia"/>
          <w:sz w:val="36"/>
          <w:szCs w:val="36"/>
          <w:lang w:val="en-US" w:eastAsia="zh-CN"/>
        </w:rPr>
        <w:t>岳阳市云溪区审计局2022年度单位整体支出</w:t>
      </w:r>
    </w:p>
    <w:p>
      <w:pPr>
        <w:spacing w:line="480" w:lineRule="exact"/>
        <w:ind w:firstLine="720" w:firstLineChars="200"/>
        <w:jc w:val="center"/>
        <w:rPr>
          <w:rFonts w:hint="default" w:eastAsia="宋体"/>
          <w:sz w:val="36"/>
          <w:szCs w:val="36"/>
          <w:lang w:val="en-US" w:eastAsia="zh-CN"/>
        </w:rPr>
      </w:pPr>
      <w:r>
        <w:rPr>
          <w:rFonts w:hint="eastAsia"/>
          <w:sz w:val="36"/>
          <w:szCs w:val="36"/>
          <w:lang w:val="en-US" w:eastAsia="zh-CN"/>
        </w:rPr>
        <w:t>绩效评价自评报告</w:t>
      </w:r>
    </w:p>
    <w:p>
      <w:pPr>
        <w:spacing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一、部门（单位）概况</w:t>
      </w:r>
    </w:p>
    <w:p>
      <w:pPr>
        <w:spacing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岳阳市云溪区审计局（简称区审计局）是区政府工作部门，为正科级。</w:t>
      </w:r>
    </w:p>
    <w:p>
      <w:pPr>
        <w:spacing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岳阳市云溪区委审计委员会办公室（以下简称区委审计委员会办公室）设在区审计局，接受中共岳阳市云溪区委审计委员会（简称区委审计委员会）的直接领导，承担区委审计委员会具体工作，研究提出审计领域坚持党的领导、加强党的建设的政策建议，组织研究审计工作规划，协调推进和督促党中央、省委、市委、区委和区委审计委员会的决策部署，研究提出年度审计项目计划等，对直接审计、调查和核查的事项依法进行审计评价，作出审计决定或提出审计建议。</w:t>
      </w:r>
    </w:p>
    <w:p>
      <w:pPr>
        <w:spacing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审计局局内设股室7个，所属事业单位2个。内设股室分别是办公室、法规审理股、财政和行政事业审计股、社会保障和国有企业审计股、自然资源和生态环境审计股、固定资产投资审计股（重大项目稽查审计股）以及经济责任审计股。所属事业单位是岳阳市云溪区经济审计中心和岳阳市云溪区审计服务中心。</w:t>
      </w:r>
      <w:r>
        <w:rPr>
          <w:rFonts w:hint="eastAsia" w:ascii="仿宋_GB2312" w:hAnsi="仿宋_GB2312" w:eastAsia="仿宋_GB2312" w:cs="仿宋_GB2312"/>
          <w:sz w:val="24"/>
          <w:szCs w:val="24"/>
          <w:lang w:eastAsia="zh-CN"/>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rPr>
        <w:t>末区编办核定区审计局编制人数2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名，在职人数2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名。</w:t>
      </w:r>
    </w:p>
    <w:p>
      <w:pPr>
        <w:spacing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二、一般公共预算支出情况</w:t>
      </w:r>
    </w:p>
    <w:p>
      <w:pPr>
        <w:spacing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2022年区审计局整体支出494.55万元。基本支出388.55万元，其中人员支出347.34万元，用于基本工资、津贴补贴、社保费缴纳等人员经费；公用支出41.21万元，用于办公费、印刷费、水电费等日常办公开支。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一是2022年度2022年省级审计专项补助资金1.9</w:t>
      </w:r>
      <w:bookmarkStart w:id="0" w:name="_GoBack"/>
      <w:bookmarkEnd w:id="0"/>
      <w:r>
        <w:rPr>
          <w:rFonts w:hint="eastAsia" w:ascii="仿宋_GB2312" w:hAnsi="仿宋_GB2312" w:eastAsia="仿宋_GB2312" w:cs="仿宋_GB2312"/>
          <w:sz w:val="24"/>
          <w:szCs w:val="24"/>
          <w:lang w:val="en-US" w:eastAsia="zh-CN"/>
        </w:rPr>
        <w:t>5万元，该补助资金全部用于开展经济责任审计、政府投资项目审计、专项资金审计等项目办公费、印刷费、差旅费支出。专项资金以外的其他项目104.05万元，用于保障区本级预算执行审计、经济责任审计和投资审计等项目的具体实施。</w:t>
      </w:r>
    </w:p>
    <w:p>
      <w:pPr>
        <w:numPr>
          <w:ilvl w:val="0"/>
          <w:numId w:val="1"/>
        </w:numPr>
        <w:spacing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政府性基金预算支出情况</w:t>
      </w:r>
    </w:p>
    <w:p>
      <w:pPr>
        <w:numPr>
          <w:ilvl w:val="0"/>
          <w:numId w:val="0"/>
        </w:numPr>
        <w:spacing w:line="48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无</w:t>
      </w:r>
    </w:p>
    <w:p>
      <w:pPr>
        <w:numPr>
          <w:ilvl w:val="0"/>
          <w:numId w:val="1"/>
        </w:numPr>
        <w:spacing w:line="48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国有资本经营预算支出情况</w:t>
      </w:r>
    </w:p>
    <w:p>
      <w:pPr>
        <w:numPr>
          <w:ilvl w:val="0"/>
          <w:numId w:val="0"/>
        </w:numPr>
        <w:spacing w:line="480" w:lineRule="exact"/>
        <w:ind w:left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无</w:t>
      </w:r>
    </w:p>
    <w:p>
      <w:pPr>
        <w:numPr>
          <w:ilvl w:val="0"/>
          <w:numId w:val="1"/>
        </w:numPr>
        <w:spacing w:line="48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社会保险基金预算支出情况</w:t>
      </w:r>
    </w:p>
    <w:p>
      <w:pPr>
        <w:numPr>
          <w:ilvl w:val="0"/>
          <w:numId w:val="0"/>
        </w:numPr>
        <w:spacing w:line="480" w:lineRule="exact"/>
        <w:ind w:left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无</w:t>
      </w:r>
    </w:p>
    <w:p>
      <w:pPr>
        <w:spacing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六、部门整体支出绩效情况</w:t>
      </w:r>
    </w:p>
    <w:p>
      <w:pPr>
        <w:spacing w:line="48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度，完成审计项目31个，查出各类问题金额108348万元，其中查出违法违纪问题金额17121万元，管理不规范金额90386万元，损失浪费金额841万元；查出典型性、普遍性、倾向性的问题111个，提出建议72条;审计完成投资额15649万元，核减投资额187万元。向相关部门移送问题线索1条。</w:t>
      </w:r>
    </w:p>
    <w:p>
      <w:pPr>
        <w:spacing w:line="48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政预算执行审计方面。今年组织形式首次采取了省、市、县（区）三级联动模式，在对全区财政预算上线单位的年度结余结转资金进行了全覆盖审计的基础上，重点聚焦国有资源资产管理、政府债券管理、社会保险基金预算管理、“三高四新”战略定位和使命任务落实、财政存量资金及库款保障、政府采购及政府购买服务等六个重点版块内容。在社保基金审计中，全面摸清了全区2021年度养老保险基金收入、支出、结余规模，揭示了在筹集、使用和运行管理等方面存在的突出问题和风险隐患。审计共查处各类违规问题84个，管理不规范金额84425.93万元，提出审计建议35条。</w:t>
      </w:r>
    </w:p>
    <w:p>
      <w:pPr>
        <w:spacing w:line="48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济责任审计方面。完成区住房和城乡建设局、区应急管理局、城市建设投资有限责任公司、松杨湖街道5名主要负责人离任经济责任情况审计。审计共发现问题44个，违规金额11.12万元，管理不规范金额20831.64万，提出建议19条。</w:t>
      </w:r>
    </w:p>
    <w:p>
      <w:pPr>
        <w:spacing w:line="48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投资审计方面。聚焦主责主业，加大对扶贫、教育、医疗等民生保障资金和项目的审计力度。面对任务重、时间紧、人员少等问题，为确保完成审计任务，我局创新方式，首次引进了第三方审计，积极借助社会力量参与投资审计，充分发挥专业机构在工程结算、造价审核、质量检测等方面的专业优势。目前已完成13个项目投资额15649万元的审计，在财政评审的基础上再核减工程款187万元。</w:t>
      </w:r>
    </w:p>
    <w:p>
      <w:pPr>
        <w:spacing w:line="48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财务收支审计方面。根据区委审计委员会统一部署，我局完成了区级储备粮、湖南岳阳绿色化工高新技术产业开发区管委会、静脉产业园财务收支情况审计。</w:t>
      </w:r>
    </w:p>
    <w:p>
      <w:pPr>
        <w:spacing w:line="48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时全力完成领导交办事项。根据区委区政府安排部署，先后完成了市党政主要领导经济责任审计和自然资源资产审计查出问题后续整改、云溪区胜利市场建设开发项目有关支出调查、配合岳阳市云溪区炼化一体化项目建设协调等5项工作。同时，服从上级调配，完成了2021年云溪区政府性债务专项审计查出问题整改工作，安排1人次参加了省厅组织的违规举债专项巡察、1人次参加了市局组织的全省经济交叉审计，3人次参加了区委专项巡察。</w:t>
      </w:r>
    </w:p>
    <w:p>
      <w:pPr>
        <w:pStyle w:val="9"/>
        <w:spacing w:line="480" w:lineRule="exact"/>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七、存在的问题及原因分析</w:t>
      </w:r>
    </w:p>
    <w:p>
      <w:pPr>
        <w:spacing w:line="48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w:t>
      </w:r>
    </w:p>
    <w:p>
      <w:pPr>
        <w:numPr>
          <w:ilvl w:val="0"/>
          <w:numId w:val="2"/>
        </w:numPr>
        <w:spacing w:line="48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下一步改进措施</w:t>
      </w:r>
    </w:p>
    <w:p>
      <w:pPr>
        <w:pStyle w:val="2"/>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无</w:t>
      </w:r>
    </w:p>
    <w:p>
      <w:pPr>
        <w:numPr>
          <w:ilvl w:val="0"/>
          <w:numId w:val="2"/>
        </w:numPr>
        <w:spacing w:line="480" w:lineRule="exact"/>
        <w:ind w:left="0" w:leftChars="0"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其他需要说明的情况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无</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5DDB1"/>
    <w:multiLevelType w:val="singleLevel"/>
    <w:tmpl w:val="BCF5DDB1"/>
    <w:lvl w:ilvl="0" w:tentative="0">
      <w:start w:val="3"/>
      <w:numFmt w:val="chineseCounting"/>
      <w:suff w:val="nothing"/>
      <w:lvlText w:val="%1、"/>
      <w:lvlJc w:val="left"/>
      <w:rPr>
        <w:rFonts w:hint="eastAsia"/>
      </w:rPr>
    </w:lvl>
  </w:abstractNum>
  <w:abstractNum w:abstractNumId="1">
    <w:nsid w:val="4FFA5A0B"/>
    <w:multiLevelType w:val="singleLevel"/>
    <w:tmpl w:val="4FFA5A0B"/>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MWM2YTRlY2YyYzExYzY2OTdiZTk1Y2JjOTMzOGEifQ=="/>
  </w:docVars>
  <w:rsids>
    <w:rsidRoot w:val="00000000"/>
    <w:rsid w:val="03095E6F"/>
    <w:rsid w:val="17226ABE"/>
    <w:rsid w:val="1F465D39"/>
    <w:rsid w:val="33DDFB0D"/>
    <w:rsid w:val="42685898"/>
    <w:rsid w:val="5EFF0B07"/>
    <w:rsid w:val="5EFF2D2E"/>
    <w:rsid w:val="697F2B56"/>
    <w:rsid w:val="6BF3826A"/>
    <w:rsid w:val="6FEF9D9A"/>
    <w:rsid w:val="7FBF99AC"/>
    <w:rsid w:val="AE7D23B9"/>
    <w:rsid w:val="B7FEFE80"/>
    <w:rsid w:val="BFFF9DB5"/>
    <w:rsid w:val="DFF5D288"/>
    <w:rsid w:val="DFFFD7D2"/>
    <w:rsid w:val="ECE46398"/>
    <w:rsid w:val="EF9E3C7D"/>
    <w:rsid w:val="FDB333D8"/>
    <w:rsid w:val="FFB742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sz w:val="18"/>
      <w:szCs w:val="18"/>
    </w:rPr>
  </w:style>
  <w:style w:type="paragraph" w:styleId="3">
    <w:name w:val="Body Text First Indent 2"/>
    <w:basedOn w:val="4"/>
    <w:next w:val="1"/>
    <w:qFormat/>
    <w:uiPriority w:val="0"/>
    <w:pPr>
      <w:ind w:firstLine="420" w:firstLineChars="200"/>
    </w:pPr>
  </w:style>
  <w:style w:type="paragraph" w:styleId="4">
    <w:name w:val="Body Text Indent"/>
    <w:basedOn w:val="1"/>
    <w:next w:val="3"/>
    <w:qFormat/>
    <w:uiPriority w:val="0"/>
    <w:pPr>
      <w:ind w:firstLine="540"/>
    </w:pPr>
    <w:rPr>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1495</Words>
  <Characters>1605</Characters>
  <Lines>0</Lines>
  <Paragraphs>0</Paragraphs>
  <TotalTime>34</TotalTime>
  <ScaleCrop>false</ScaleCrop>
  <LinksUpToDate>false</LinksUpToDate>
  <CharactersWithSpaces>1623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2021-10-26T08:55:00Z</dcterms:created>
  <dc:creator>Administrator</dc:creator>
  <cp:lastModifiedBy>kylin</cp:lastModifiedBy>
  <dcterms:modified xsi:type="dcterms:W3CDTF">2023-07-10T15:38:22Z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7100C8571B6A4FD78F60B0F1514EAB60</vt:lpwstr>
  </property>
</Properties>
</file>