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EECE1"/>
  <w:body>
    <w:p>
      <w:pPr>
        <w:spacing w:line="760" w:lineRule="exact"/>
        <w:jc w:val="both"/>
        <w:rPr>
          <w:rFonts w:hint="eastAsia" w:ascii="楷体_GB2312" w:hAnsi="宋体" w:eastAsia="楷体_GB2312"/>
          <w:b/>
          <w:sz w:val="32"/>
          <w:szCs w:val="32"/>
          <w:lang w:eastAsia="zh-CN"/>
        </w:rPr>
      </w:pPr>
    </w:p>
    <w:p>
      <w:pPr>
        <w:spacing w:line="760" w:lineRule="exact"/>
        <w:jc w:val="center"/>
        <w:rPr>
          <w:rFonts w:hint="eastAsia" w:ascii="楷体_GB2312" w:hAnsi="宋体" w:eastAsia="楷体_GB2312"/>
          <w:b/>
          <w:sz w:val="32"/>
          <w:szCs w:val="32"/>
          <w:lang w:eastAsia="zh-CN"/>
        </w:rPr>
      </w:pPr>
      <w:r>
        <w:rPr>
          <w:rFonts w:hint="eastAsia" w:ascii="楷体_GB2312" w:hAnsi="宋体" w:eastAsia="楷体_GB2312"/>
          <w:b/>
          <w:sz w:val="32"/>
          <w:szCs w:val="32"/>
          <w:lang w:val="en-US" w:eastAsia="zh-CN"/>
        </w:rPr>
        <w:t>2021年度云溪区自然资源综合性项目</w:t>
      </w:r>
    </w:p>
    <w:p>
      <w:pPr>
        <w:spacing w:line="1200" w:lineRule="exact"/>
        <w:ind w:firstLine="1027" w:firstLineChars="100"/>
        <w:rPr>
          <w:rFonts w:hint="eastAsia" w:ascii="楷体_GB2312" w:hAnsi="宋体" w:eastAsia="楷体_GB2312"/>
          <w:b/>
          <w:bCs/>
          <w:spacing w:val="152"/>
          <w:sz w:val="72"/>
          <w:szCs w:val="72"/>
        </w:rPr>
      </w:pPr>
      <w:r>
        <w:rPr>
          <w:rFonts w:hint="eastAsia" w:ascii="楷体_GB2312" w:hAnsi="宋体" w:eastAsia="楷体_GB2312"/>
          <w:b/>
          <w:bCs/>
          <w:spacing w:val="152"/>
          <w:sz w:val="72"/>
          <w:szCs w:val="72"/>
        </w:rPr>
        <w:t>绩效评价报告书</w:t>
      </w:r>
    </w:p>
    <w:p>
      <w:pPr>
        <w:spacing w:line="760" w:lineRule="exact"/>
        <w:jc w:val="center"/>
        <w:outlineLvl w:val="0"/>
        <w:rPr>
          <w:rFonts w:hint="eastAsia" w:ascii="楷体_GB2312" w:hAnsi="宋体" w:eastAsia="楷体_GB2312"/>
          <w:b/>
          <w:bCs/>
          <w:sz w:val="32"/>
          <w:szCs w:val="32"/>
          <w:lang w:eastAsia="zh-CN"/>
        </w:rPr>
      </w:pPr>
      <w:r>
        <w:rPr>
          <w:rFonts w:hint="eastAsia" w:ascii="楷体_GB2312" w:hAnsi="宋体" w:eastAsia="楷体_GB2312"/>
          <w:b/>
          <w:bCs/>
          <w:sz w:val="32"/>
          <w:szCs w:val="32"/>
        </w:rPr>
        <w:t xml:space="preserve">  </w:t>
      </w:r>
      <w:r>
        <w:rPr>
          <w:rFonts w:hint="eastAsia" w:ascii="楷体_GB2312" w:hAnsi="宋体" w:eastAsia="楷体_GB2312"/>
          <w:b/>
          <w:bCs/>
          <w:sz w:val="32"/>
          <w:szCs w:val="32"/>
          <w:lang w:eastAsia="zh-CN"/>
        </w:rPr>
        <w:t>湘公会司</w:t>
      </w:r>
      <w:r>
        <w:rPr>
          <w:rFonts w:hint="eastAsia" w:ascii="楷体_GB2312" w:hAnsi="宋体" w:eastAsia="楷体_GB2312"/>
          <w:b/>
          <w:bCs/>
          <w:sz w:val="32"/>
          <w:szCs w:val="32"/>
          <w:highlight w:val="none"/>
          <w:lang w:eastAsia="zh-CN"/>
        </w:rPr>
        <w:t>（</w:t>
      </w:r>
      <w:r>
        <w:rPr>
          <w:rFonts w:hint="eastAsia" w:ascii="楷体_GB2312" w:hAnsi="宋体" w:eastAsia="楷体_GB2312"/>
          <w:b/>
          <w:bCs/>
          <w:sz w:val="32"/>
          <w:szCs w:val="32"/>
          <w:highlight w:val="none"/>
          <w:lang w:val="en-US" w:eastAsia="zh-CN"/>
        </w:rPr>
        <w:t>绩）</w:t>
      </w:r>
      <w:r>
        <w:rPr>
          <w:rFonts w:hint="eastAsia" w:ascii="楷体_GB2312" w:hAnsi="宋体" w:eastAsia="楷体_GB2312"/>
          <w:b/>
          <w:bCs/>
          <w:sz w:val="32"/>
          <w:szCs w:val="32"/>
          <w:highlight w:val="none"/>
          <w:lang w:eastAsia="zh-CN"/>
        </w:rPr>
        <w:t>字[2023]第</w:t>
      </w:r>
      <w:r>
        <w:rPr>
          <w:rFonts w:hint="eastAsia" w:ascii="楷体_GB2312" w:hAnsi="宋体" w:eastAsia="楷体_GB2312"/>
          <w:b/>
          <w:bCs/>
          <w:sz w:val="32"/>
          <w:szCs w:val="32"/>
          <w:highlight w:val="none"/>
          <w:lang w:val="en-US" w:eastAsia="zh-CN"/>
        </w:rPr>
        <w:t>008</w:t>
      </w:r>
      <w:r>
        <w:rPr>
          <w:rFonts w:hint="eastAsia" w:ascii="楷体_GB2312" w:hAnsi="宋体" w:eastAsia="楷体_GB2312"/>
          <w:b/>
          <w:bCs/>
          <w:sz w:val="32"/>
          <w:szCs w:val="32"/>
          <w:lang w:eastAsia="zh-CN"/>
        </w:rPr>
        <w:t>号</w:t>
      </w: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bookmarkStart w:id="0" w:name="_GoBack"/>
      <w:bookmarkEnd w:id="0"/>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ind w:firstLine="2006" w:firstLineChars="500"/>
        <w:jc w:val="both"/>
        <w:outlineLvl w:val="0"/>
        <w:rPr>
          <w:rFonts w:hint="eastAsia" w:ascii="楷体_GB2312" w:hAnsi="宋体" w:eastAsia="楷体_GB2312"/>
          <w:b/>
          <w:bCs/>
          <w:spacing w:val="40"/>
          <w:sz w:val="32"/>
          <w:szCs w:val="32"/>
        </w:rPr>
      </w:pPr>
    </w:p>
    <w:p>
      <w:pPr>
        <w:spacing w:line="760" w:lineRule="exact"/>
        <w:ind w:firstLine="2006" w:firstLineChars="500"/>
        <w:jc w:val="both"/>
        <w:outlineLvl w:val="0"/>
        <w:rPr>
          <w:rFonts w:hint="eastAsia" w:ascii="楷体_GB2312" w:hAnsi="宋体" w:eastAsia="楷体_GB2312"/>
          <w:b/>
          <w:bCs/>
          <w:spacing w:val="40"/>
          <w:sz w:val="32"/>
          <w:szCs w:val="32"/>
        </w:rPr>
      </w:pPr>
    </w:p>
    <w:p>
      <w:pPr>
        <w:spacing w:line="760" w:lineRule="exact"/>
        <w:ind w:firstLine="2006" w:firstLineChars="500"/>
        <w:jc w:val="both"/>
        <w:outlineLvl w:val="0"/>
        <w:rPr>
          <w:rFonts w:hint="eastAsia" w:ascii="楷体_GB2312" w:hAnsi="宋体" w:eastAsia="楷体_GB2312"/>
          <w:b/>
          <w:bCs/>
          <w:spacing w:val="40"/>
          <w:sz w:val="32"/>
          <w:szCs w:val="32"/>
          <w:lang w:eastAsia="zh-CN"/>
        </w:rPr>
      </w:pPr>
      <w:r>
        <w:rPr>
          <w:rFonts w:hint="eastAsia" w:ascii="楷体_GB2312" w:hAnsi="宋体" w:eastAsia="楷体_GB2312"/>
          <w:b/>
          <w:bCs/>
          <w:spacing w:val="40"/>
          <w:sz w:val="32"/>
          <w:szCs w:val="32"/>
          <w:lang w:eastAsia="zh-CN"/>
        </w:rPr>
        <w:t>湖南公众会计师事务所有限公司</w:t>
      </w:r>
    </w:p>
    <w:p>
      <w:pPr>
        <w:spacing w:line="760" w:lineRule="exact"/>
        <w:jc w:val="center"/>
        <w:rPr>
          <w:rFonts w:hint="eastAsia" w:ascii="楷体_GB2312" w:hAnsi="宋体" w:eastAsia="楷体_GB2312"/>
          <w:b/>
          <w:bCs/>
          <w:sz w:val="32"/>
          <w:szCs w:val="32"/>
          <w:lang w:eastAsia="zh-CN"/>
        </w:rPr>
      </w:pPr>
      <w:r>
        <w:rPr>
          <w:rFonts w:hint="eastAsia" w:ascii="楷体_GB2312" w:hAnsi="宋体" w:eastAsia="楷体_GB2312"/>
          <w:b/>
          <w:bCs/>
          <w:sz w:val="32"/>
          <w:szCs w:val="32"/>
        </w:rPr>
        <w:t xml:space="preserve">  </w:t>
      </w:r>
      <w:r>
        <w:rPr>
          <w:rFonts w:hint="eastAsia" w:ascii="楷体_GB2312" w:hAnsi="宋体" w:eastAsia="楷体_GB2312"/>
          <w:b/>
          <w:bCs/>
          <w:sz w:val="32"/>
          <w:szCs w:val="32"/>
          <w:lang w:eastAsia="zh-CN"/>
        </w:rPr>
        <w:t>二〇二</w:t>
      </w:r>
      <w:r>
        <w:rPr>
          <w:rFonts w:hint="eastAsia" w:ascii="楷体_GB2312" w:hAnsi="宋体" w:eastAsia="楷体_GB2312"/>
          <w:b/>
          <w:bCs/>
          <w:sz w:val="32"/>
          <w:szCs w:val="32"/>
          <w:lang w:val="en-US" w:eastAsia="zh-CN"/>
        </w:rPr>
        <w:t>三</w:t>
      </w:r>
      <w:r>
        <w:rPr>
          <w:rFonts w:hint="eastAsia" w:ascii="楷体_GB2312" w:hAnsi="宋体" w:eastAsia="楷体_GB2312"/>
          <w:b/>
          <w:bCs/>
          <w:sz w:val="32"/>
          <w:szCs w:val="32"/>
          <w:lang w:eastAsia="zh-CN"/>
        </w:rPr>
        <w:t>年</w:t>
      </w:r>
      <w:r>
        <w:rPr>
          <w:rFonts w:hint="eastAsia" w:ascii="楷体_GB2312" w:hAnsi="宋体" w:eastAsia="楷体_GB2312"/>
          <w:b/>
          <w:bCs/>
          <w:sz w:val="32"/>
          <w:szCs w:val="32"/>
          <w:lang w:val="en-US" w:eastAsia="zh-CN"/>
        </w:rPr>
        <w:t>八</w:t>
      </w:r>
      <w:r>
        <w:rPr>
          <w:rFonts w:hint="eastAsia" w:ascii="楷体_GB2312" w:hAnsi="宋体" w:eastAsia="楷体_GB2312"/>
          <w:b/>
          <w:bCs/>
          <w:sz w:val="32"/>
          <w:szCs w:val="32"/>
          <w:lang w:eastAsia="zh-CN"/>
        </w:rPr>
        <w:t>月</w:t>
      </w:r>
    </w:p>
    <w:p>
      <w:pPr>
        <w:spacing w:line="800" w:lineRule="exact"/>
        <w:ind w:firstLine="1066" w:firstLineChars="295"/>
        <w:rPr>
          <w:rFonts w:hint="eastAsia" w:ascii="黑体" w:hAnsi="黑体" w:eastAsia="黑体"/>
          <w:b/>
          <w:bCs/>
          <w:sz w:val="36"/>
          <w:szCs w:val="36"/>
        </w:rPr>
        <w:sectPr>
          <w:headerReference r:id="rId4" w:type="first"/>
          <w:footerReference r:id="rId5" w:type="first"/>
          <w:headerReference r:id="rId3" w:type="default"/>
          <w:pgSz w:w="11906" w:h="16838"/>
          <w:pgMar w:top="1440" w:right="1644" w:bottom="1247" w:left="1644" w:header="851" w:footer="992" w:gutter="0"/>
          <w:pgNumType w:fmt="decimal"/>
          <w:cols w:space="720" w:num="1"/>
          <w:titlePg/>
          <w:docGrid w:type="lines" w:linePitch="312" w:charSpace="0"/>
        </w:sectPr>
      </w:pPr>
    </w:p>
    <w:p>
      <w:pPr>
        <w:spacing w:line="800" w:lineRule="exact"/>
        <w:ind w:firstLine="1928" w:firstLineChars="600"/>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2021年度云溪区自然资源综合性项目</w:t>
      </w:r>
    </w:p>
    <w:p>
      <w:pPr>
        <w:spacing w:line="800" w:lineRule="exact"/>
        <w:ind w:firstLine="2891" w:firstLineChars="800"/>
        <w:rPr>
          <w:rFonts w:hint="eastAsia" w:ascii="楷体" w:hAnsi="楷体" w:eastAsia="楷体" w:cs="楷体"/>
          <w:b/>
          <w:bCs/>
          <w:sz w:val="36"/>
          <w:szCs w:val="36"/>
        </w:rPr>
      </w:pPr>
      <w:r>
        <w:rPr>
          <w:rFonts w:hint="eastAsia" w:ascii="楷体" w:hAnsi="楷体" w:eastAsia="楷体" w:cs="楷体"/>
          <w:b/>
          <w:bCs/>
          <w:sz w:val="36"/>
          <w:szCs w:val="36"/>
          <w:lang w:eastAsia="zh-CN"/>
        </w:rPr>
        <w:t>重点</w:t>
      </w:r>
      <w:r>
        <w:rPr>
          <w:rFonts w:hint="eastAsia" w:ascii="楷体" w:hAnsi="楷体" w:eastAsia="楷体" w:cs="楷体"/>
          <w:b/>
          <w:bCs/>
          <w:sz w:val="36"/>
          <w:szCs w:val="36"/>
        </w:rPr>
        <w:t>绩效评价报告</w:t>
      </w:r>
    </w:p>
    <w:p>
      <w:pPr>
        <w:spacing w:line="800" w:lineRule="exact"/>
        <w:rPr>
          <w:rFonts w:hint="eastAsia" w:ascii="楷体" w:hAnsi="楷体" w:eastAsia="楷体" w:cs="楷体"/>
          <w:b/>
          <w:sz w:val="36"/>
          <w:szCs w:val="36"/>
        </w:rPr>
      </w:pPr>
    </w:p>
    <w:p>
      <w:pPr>
        <w:spacing w:line="800" w:lineRule="exact"/>
        <w:ind w:firstLine="1205" w:firstLineChars="400"/>
        <w:rPr>
          <w:rFonts w:hint="eastAsia" w:ascii="楷体" w:hAnsi="楷体" w:eastAsia="楷体" w:cs="楷体"/>
          <w:b/>
          <w:bCs w:val="0"/>
          <w:sz w:val="30"/>
          <w:szCs w:val="30"/>
        </w:rPr>
      </w:pPr>
    </w:p>
    <w:p>
      <w:pPr>
        <w:spacing w:line="800" w:lineRule="exact"/>
        <w:ind w:firstLine="1506" w:firstLineChars="500"/>
        <w:rPr>
          <w:rFonts w:hint="default" w:ascii="楷体" w:hAnsi="楷体" w:eastAsia="楷体" w:cs="楷体"/>
          <w:b/>
          <w:bCs w:val="0"/>
          <w:sz w:val="30"/>
          <w:szCs w:val="30"/>
          <w:lang w:val="en-US" w:eastAsia="zh-CN"/>
        </w:rPr>
      </w:pPr>
      <w:r>
        <w:rPr>
          <w:rFonts w:hint="eastAsia" w:ascii="楷体" w:hAnsi="楷体" w:eastAsia="楷体" w:cs="楷体"/>
          <w:b/>
          <w:bCs w:val="0"/>
          <w:sz w:val="30"/>
          <w:szCs w:val="30"/>
        </w:rPr>
        <w:t xml:space="preserve">项目名称 </w:t>
      </w:r>
      <w:r>
        <w:rPr>
          <w:rFonts w:hint="eastAsia" w:ascii="楷体" w:hAnsi="楷体" w:eastAsia="楷体" w:cs="楷体"/>
          <w:b/>
          <w:bCs w:val="0"/>
          <w:sz w:val="30"/>
          <w:szCs w:val="30"/>
          <w:lang w:val="en-US" w:eastAsia="zh-CN"/>
        </w:rPr>
        <w:t xml:space="preserve">  </w:t>
      </w:r>
      <w:r>
        <w:rPr>
          <w:rFonts w:hint="eastAsia" w:ascii="楷体_GB2312" w:hAnsi="宋体" w:eastAsia="楷体_GB2312"/>
          <w:b/>
          <w:sz w:val="32"/>
          <w:szCs w:val="32"/>
          <w:lang w:val="en-US" w:eastAsia="zh-CN"/>
        </w:rPr>
        <w:t>2021年度云溪区自然资源综合性项目</w:t>
      </w:r>
    </w:p>
    <w:p>
      <w:pPr>
        <w:spacing w:line="800" w:lineRule="exact"/>
        <w:ind w:firstLine="1488" w:firstLineChars="494"/>
        <w:rPr>
          <w:rFonts w:hint="eastAsia" w:ascii="楷体" w:hAnsi="楷体" w:eastAsia="楷体" w:cs="楷体"/>
          <w:b/>
          <w:bCs w:val="0"/>
          <w:sz w:val="30"/>
          <w:szCs w:val="30"/>
          <w:lang w:eastAsia="zh-CN"/>
        </w:rPr>
      </w:pPr>
      <w:r>
        <w:rPr>
          <w:rFonts w:hint="eastAsia" w:ascii="楷体" w:hAnsi="楷体" w:eastAsia="楷体" w:cs="楷体"/>
          <w:b/>
          <w:bCs w:val="0"/>
          <w:sz w:val="30"/>
          <w:szCs w:val="30"/>
        </w:rPr>
        <w:t xml:space="preserve">项目单位 </w:t>
      </w:r>
      <w:r>
        <w:rPr>
          <w:rFonts w:hint="eastAsia" w:ascii="楷体" w:hAnsi="楷体" w:eastAsia="楷体" w:cs="楷体"/>
          <w:b/>
          <w:bCs w:val="0"/>
          <w:sz w:val="30"/>
          <w:szCs w:val="30"/>
          <w:lang w:eastAsia="zh-CN"/>
        </w:rPr>
        <w:t xml:space="preserve">  岳阳市云溪区自然资源局</w:t>
      </w:r>
    </w:p>
    <w:p>
      <w:pPr>
        <w:spacing w:line="800" w:lineRule="exact"/>
        <w:ind w:firstLine="1488" w:firstLineChars="494"/>
        <w:rPr>
          <w:rFonts w:hint="eastAsia" w:ascii="楷体" w:hAnsi="楷体" w:eastAsia="楷体" w:cs="楷体"/>
          <w:b/>
          <w:bCs w:val="0"/>
          <w:sz w:val="30"/>
          <w:szCs w:val="30"/>
        </w:rPr>
      </w:pPr>
      <w:r>
        <w:rPr>
          <w:rFonts w:hint="eastAsia" w:ascii="楷体" w:hAnsi="楷体" w:eastAsia="楷体" w:cs="楷体"/>
          <w:b/>
          <w:bCs w:val="0"/>
          <w:sz w:val="30"/>
          <w:szCs w:val="30"/>
        </w:rPr>
        <w:t xml:space="preserve">委托单位   </w:t>
      </w:r>
      <w:r>
        <w:rPr>
          <w:rFonts w:hint="eastAsia" w:ascii="楷体" w:hAnsi="楷体" w:eastAsia="楷体" w:cs="楷体"/>
          <w:b/>
          <w:bCs w:val="0"/>
          <w:sz w:val="30"/>
          <w:szCs w:val="30"/>
          <w:lang w:val="en-US" w:eastAsia="zh-CN"/>
        </w:rPr>
        <w:t>云溪区财政局</w:t>
      </w:r>
    </w:p>
    <w:p>
      <w:pPr>
        <w:spacing w:line="800" w:lineRule="exact"/>
        <w:ind w:firstLine="1488" w:firstLineChars="494"/>
        <w:rPr>
          <w:rFonts w:hint="eastAsia" w:ascii="楷体" w:hAnsi="楷体" w:eastAsia="楷体" w:cs="楷体"/>
          <w:b/>
          <w:bCs w:val="0"/>
          <w:sz w:val="32"/>
          <w:szCs w:val="32"/>
        </w:rPr>
      </w:pPr>
      <w:r>
        <w:rPr>
          <w:rFonts w:hint="eastAsia" w:ascii="楷体" w:hAnsi="楷体" w:eastAsia="楷体" w:cs="楷体"/>
          <w:b/>
          <w:bCs w:val="0"/>
          <w:sz w:val="30"/>
          <w:szCs w:val="30"/>
        </w:rPr>
        <w:t xml:space="preserve">评价机构   </w:t>
      </w:r>
      <w:r>
        <w:rPr>
          <w:rFonts w:hint="eastAsia" w:ascii="楷体" w:hAnsi="楷体" w:eastAsia="楷体" w:cs="楷体"/>
          <w:b/>
          <w:bCs w:val="0"/>
          <w:sz w:val="30"/>
          <w:szCs w:val="30"/>
          <w:lang w:eastAsia="zh-CN"/>
        </w:rPr>
        <w:t>湖南公众会计师事务所有限公司</w:t>
      </w:r>
      <w:r>
        <w:rPr>
          <w:rFonts w:hint="eastAsia" w:ascii="楷体" w:hAnsi="楷体" w:eastAsia="楷体" w:cs="楷体"/>
          <w:b/>
          <w:bCs w:val="0"/>
          <w:sz w:val="30"/>
          <w:szCs w:val="30"/>
        </w:rPr>
        <w:t xml:space="preserve"> </w:t>
      </w:r>
      <w:r>
        <w:rPr>
          <w:rFonts w:hint="eastAsia" w:ascii="楷体" w:hAnsi="楷体" w:eastAsia="楷体" w:cs="楷体"/>
          <w:b/>
          <w:bCs w:val="0"/>
          <w:sz w:val="32"/>
          <w:szCs w:val="32"/>
        </w:rPr>
        <w:t xml:space="preserve"> </w:t>
      </w:r>
    </w:p>
    <w:p>
      <w:pPr>
        <w:spacing w:line="800" w:lineRule="exact"/>
        <w:ind w:firstLine="1476" w:firstLineChars="490"/>
        <w:rPr>
          <w:rFonts w:hint="eastAsia" w:ascii="楷体" w:hAnsi="楷体" w:eastAsia="楷体" w:cs="楷体"/>
          <w:b/>
          <w:bCs w:val="0"/>
          <w:sz w:val="30"/>
          <w:szCs w:val="30"/>
        </w:rPr>
      </w:pPr>
    </w:p>
    <w:p>
      <w:pPr>
        <w:pStyle w:val="35"/>
        <w:rPr>
          <w:rFonts w:hint="eastAsia" w:ascii="楷体" w:hAnsi="楷体" w:eastAsia="楷体" w:cs="楷体"/>
          <w:b/>
          <w:sz w:val="24"/>
        </w:rPr>
      </w:pPr>
    </w:p>
    <w:p>
      <w:pPr>
        <w:pStyle w:val="35"/>
        <w:rPr>
          <w:rFonts w:hint="eastAsia" w:ascii="楷体" w:hAnsi="楷体" w:eastAsia="楷体" w:cs="楷体"/>
          <w:b/>
          <w:sz w:val="24"/>
        </w:rPr>
      </w:pP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评价类型 事前评价□ 事中评价□ 事后评价</w:t>
      </w:r>
      <w:r>
        <w:rPr>
          <w:rFonts w:hint="eastAsia" w:ascii="楷体" w:hAnsi="楷体" w:eastAsia="楷体" w:cs="楷体"/>
          <w:b/>
          <w:sz w:val="24"/>
          <w:bdr w:val="single" w:color="auto" w:sz="4" w:space="0"/>
        </w:rPr>
        <w:t>√</w:t>
      </w: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评价方式：部门（单位绩效自评□ 财政部门组织评价</w:t>
      </w:r>
      <w:r>
        <w:rPr>
          <w:rFonts w:hint="eastAsia" w:ascii="楷体" w:hAnsi="楷体" w:eastAsia="楷体" w:cs="楷体"/>
          <w:b/>
          <w:sz w:val="24"/>
          <w:bdr w:val="single" w:color="auto" w:sz="4" w:space="0"/>
        </w:rPr>
        <w:t>√</w:t>
      </w: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评价机构：中介机构</w:t>
      </w:r>
      <w:r>
        <w:rPr>
          <w:rFonts w:hint="eastAsia" w:ascii="楷体" w:hAnsi="楷体" w:eastAsia="楷体" w:cs="楷体"/>
          <w:b/>
          <w:sz w:val="24"/>
          <w:bdr w:val="single" w:color="auto" w:sz="4" w:space="0"/>
        </w:rPr>
        <w:t>√</w:t>
      </w:r>
      <w:r>
        <w:rPr>
          <w:rFonts w:hint="eastAsia" w:ascii="楷体" w:hAnsi="楷体" w:eastAsia="楷体" w:cs="楷体"/>
          <w:b/>
          <w:sz w:val="24"/>
        </w:rPr>
        <w:t xml:space="preserve"> 部门（单位评价组□财政评价组□</w:t>
      </w:r>
    </w:p>
    <w:p>
      <w:pPr>
        <w:spacing w:line="800" w:lineRule="exact"/>
        <w:rPr>
          <w:rFonts w:hint="eastAsia" w:ascii="楷体" w:hAnsi="楷体" w:eastAsia="楷体" w:cs="楷体"/>
          <w:b/>
          <w:sz w:val="24"/>
        </w:rPr>
      </w:pPr>
    </w:p>
    <w:p>
      <w:pPr>
        <w:spacing w:line="348" w:lineRule="auto"/>
        <w:jc w:val="both"/>
        <w:rPr>
          <w:rFonts w:hint="eastAsia" w:ascii="楷体" w:hAnsi="楷体" w:eastAsia="楷体" w:cs="楷体"/>
          <w:sz w:val="28"/>
          <w:szCs w:val="28"/>
        </w:rPr>
      </w:pPr>
      <w:r>
        <w:rPr>
          <w:rFonts w:hint="eastAsia" w:ascii="楷体" w:hAnsi="楷体" w:eastAsia="楷体" w:cs="楷体"/>
          <w:sz w:val="28"/>
          <w:szCs w:val="28"/>
        </w:rPr>
        <w:t xml:space="preserve"> </w:t>
      </w:r>
    </w:p>
    <w:p>
      <w:pPr>
        <w:pStyle w:val="35"/>
        <w:rPr>
          <w:rFonts w:hint="eastAsia"/>
        </w:rPr>
      </w:pPr>
    </w:p>
    <w:p>
      <w:pPr>
        <w:spacing w:line="348" w:lineRule="auto"/>
        <w:ind w:firstLine="2530" w:firstLineChars="900"/>
        <w:jc w:val="both"/>
        <w:rPr>
          <w:rFonts w:hint="eastAsia" w:ascii="楷体" w:hAnsi="楷体" w:eastAsia="楷体" w:cs="楷体"/>
          <w:b/>
          <w:sz w:val="18"/>
          <w:szCs w:val="18"/>
        </w:rPr>
      </w:pPr>
      <w:r>
        <w:rPr>
          <w:rFonts w:hint="eastAsia" w:ascii="楷体" w:hAnsi="楷体" w:eastAsia="楷体" w:cs="楷体"/>
          <w:b/>
          <w:sz w:val="28"/>
          <w:szCs w:val="28"/>
        </w:rPr>
        <w:t>评价时间：</w:t>
      </w:r>
      <w:r>
        <w:rPr>
          <w:rFonts w:hint="eastAsia" w:ascii="楷体" w:hAnsi="楷体" w:eastAsia="楷体" w:cs="楷体"/>
          <w:b/>
          <w:sz w:val="28"/>
          <w:szCs w:val="28"/>
          <w:lang w:eastAsia="zh-CN"/>
        </w:rPr>
        <w:t>二〇二三年</w:t>
      </w:r>
      <w:r>
        <w:rPr>
          <w:rFonts w:hint="eastAsia" w:ascii="楷体" w:hAnsi="楷体" w:eastAsia="楷体" w:cs="楷体"/>
          <w:b/>
          <w:sz w:val="28"/>
          <w:szCs w:val="28"/>
          <w:lang w:val="en-US" w:eastAsia="zh-CN"/>
        </w:rPr>
        <w:t>八</w:t>
      </w:r>
      <w:r>
        <w:rPr>
          <w:rFonts w:hint="eastAsia" w:ascii="楷体" w:hAnsi="楷体" w:eastAsia="楷体" w:cs="楷体"/>
          <w:b/>
          <w:sz w:val="28"/>
          <w:szCs w:val="28"/>
          <w:lang w:eastAsia="zh-CN"/>
        </w:rPr>
        <w:t>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602" w:firstLineChars="200"/>
        <w:jc w:val="center"/>
        <w:textAlignment w:val="auto"/>
        <w:rPr>
          <w:rFonts w:hint="eastAsia" w:ascii="宋体" w:hAnsi="宋体" w:eastAsia="宋体" w:cs="宋体"/>
          <w:b/>
          <w:sz w:val="30"/>
          <w:szCs w:val="30"/>
          <w:lang w:val="en-US" w:eastAsia="zh-CN"/>
        </w:rPr>
      </w:pPr>
    </w:p>
    <w:p>
      <w:pPr>
        <w:rPr>
          <w:rFonts w:hint="eastAsia" w:ascii="宋体" w:hAnsi="宋体" w:eastAsia="宋体" w:cs="宋体"/>
          <w:b/>
          <w:sz w:val="30"/>
          <w:szCs w:val="30"/>
          <w:lang w:val="en-US" w:eastAsia="zh-CN"/>
        </w:rPr>
      </w:pPr>
    </w:p>
    <w:p>
      <w:pPr>
        <w:pStyle w:val="2"/>
        <w:rPr>
          <w:rFonts w:hint="eastAsia"/>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602" w:firstLineChars="200"/>
        <w:jc w:val="center"/>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目  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一、项目</w:t>
      </w:r>
      <w:r>
        <w:rPr>
          <w:rFonts w:hint="eastAsia" w:ascii="宋体" w:hAnsi="宋体" w:eastAsia="宋体" w:cs="宋体"/>
          <w:b/>
          <w:sz w:val="24"/>
          <w:szCs w:val="24"/>
          <w:lang w:eastAsia="zh-CN"/>
        </w:rPr>
        <w:t>概况</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）项目评价依据</w:t>
      </w:r>
    </w:p>
    <w:p>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（二）项目单位基本情况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cs="宋体"/>
          <w:b w:val="0"/>
          <w:bCs/>
          <w:sz w:val="24"/>
          <w:szCs w:val="24"/>
          <w:lang w:val="zh-CN"/>
        </w:rPr>
        <w:t>（</w:t>
      </w:r>
      <w:r>
        <w:rPr>
          <w:rFonts w:hint="eastAsia" w:ascii="宋体" w:hAnsi="宋体" w:cs="宋体"/>
          <w:b w:val="0"/>
          <w:bCs/>
          <w:sz w:val="24"/>
          <w:szCs w:val="24"/>
          <w:lang w:val="en-US" w:eastAsia="zh-CN"/>
        </w:rPr>
        <w:t>三</w:t>
      </w:r>
      <w:r>
        <w:rPr>
          <w:rFonts w:hint="eastAsia" w:ascii="宋体" w:hAnsi="宋体" w:cs="宋体"/>
          <w:b w:val="0"/>
          <w:bCs/>
          <w:sz w:val="24"/>
          <w:szCs w:val="24"/>
          <w:lang w:val="zh-CN"/>
        </w:rPr>
        <w:t>）</w:t>
      </w:r>
      <w:r>
        <w:rPr>
          <w:rFonts w:hint="eastAsia" w:ascii="宋体" w:hAnsi="宋体" w:eastAsia="宋体" w:cs="宋体"/>
          <w:b w:val="0"/>
          <w:bCs/>
          <w:sz w:val="24"/>
          <w:szCs w:val="24"/>
          <w:lang w:val="zh-CN"/>
        </w:rPr>
        <w:t>项目基本情况</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（四）项目绩效目标及项目的主要内容</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1、项目总体目标</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具体目标</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（五）</w:t>
      </w:r>
      <w:r>
        <w:rPr>
          <w:rFonts w:hint="eastAsia" w:ascii="宋体" w:hAnsi="宋体" w:eastAsia="宋体" w:cs="宋体"/>
          <w:b w:val="0"/>
          <w:bCs/>
          <w:sz w:val="24"/>
          <w:szCs w:val="24"/>
        </w:rPr>
        <w:t>项目资金情况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项目</w:t>
      </w:r>
      <w:r>
        <w:rPr>
          <w:rFonts w:hint="eastAsia" w:ascii="宋体" w:hAnsi="宋体" w:eastAsia="宋体" w:cs="宋体"/>
          <w:b w:val="0"/>
          <w:bCs/>
          <w:sz w:val="24"/>
          <w:szCs w:val="24"/>
          <w:lang w:eastAsia="zh-CN"/>
        </w:rPr>
        <w:t>预算</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资金来源和到位情况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实际使用资金情况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4、资金结余情况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sz w:val="24"/>
          <w:szCs w:val="24"/>
          <w:lang w:eastAsia="zh-CN"/>
        </w:rPr>
      </w:pPr>
      <w:r>
        <w:rPr>
          <w:rFonts w:hint="eastAsia" w:ascii="宋体" w:hAnsi="宋体" w:eastAsia="宋体" w:cs="宋体"/>
          <w:b w:val="0"/>
          <w:bCs/>
          <w:sz w:val="24"/>
          <w:szCs w:val="24"/>
          <w:lang w:val="en-US" w:eastAsia="zh-CN"/>
        </w:rPr>
        <w:t>5、资金管理制度情况</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二、绩效评价工作情况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（一）绩效评价的目的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（二）绩效评价原则、指标体系</w:t>
      </w:r>
      <w:r>
        <w:rPr>
          <w:rFonts w:hint="eastAsia" w:ascii="宋体" w:hAnsi="宋体" w:eastAsia="宋体" w:cs="宋体"/>
          <w:b w:val="0"/>
          <w:bCs/>
          <w:sz w:val="24"/>
          <w:szCs w:val="24"/>
          <w:lang w:eastAsia="zh-CN"/>
        </w:rPr>
        <w:t>及</w:t>
      </w:r>
      <w:r>
        <w:rPr>
          <w:rFonts w:hint="eastAsia" w:ascii="宋体" w:hAnsi="宋体" w:eastAsia="宋体" w:cs="宋体"/>
          <w:b w:val="0"/>
          <w:bCs/>
          <w:sz w:val="24"/>
          <w:szCs w:val="24"/>
        </w:rPr>
        <w:t>标准和评价方法</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eastAsia="zh-CN"/>
        </w:rPr>
        <w:t>、</w:t>
      </w:r>
      <w:r>
        <w:rPr>
          <w:rFonts w:hint="eastAsia" w:ascii="宋体" w:hAnsi="宋体" w:eastAsia="宋体" w:cs="宋体"/>
          <w:b w:val="0"/>
          <w:bCs/>
          <w:sz w:val="24"/>
          <w:szCs w:val="24"/>
        </w:rPr>
        <w:t>绩效评价原则</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eastAsia="zh-CN"/>
        </w:rPr>
        <w:t>、</w:t>
      </w:r>
      <w:r>
        <w:rPr>
          <w:rFonts w:hint="eastAsia" w:ascii="宋体" w:hAnsi="宋体" w:eastAsia="宋体" w:cs="宋体"/>
          <w:b w:val="0"/>
          <w:bCs/>
          <w:sz w:val="24"/>
          <w:szCs w:val="24"/>
        </w:rPr>
        <w:t>绩效指标体系及标准</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cs="宋体"/>
          <w:b w:val="0"/>
          <w:bCs/>
          <w:sz w:val="24"/>
          <w:szCs w:val="24"/>
          <w:lang w:val="en-US" w:eastAsia="zh-CN"/>
        </w:rPr>
        <w:t>、</w:t>
      </w:r>
      <w:r>
        <w:rPr>
          <w:rFonts w:hint="eastAsia" w:ascii="宋体" w:hAnsi="宋体" w:eastAsia="宋体" w:cs="宋体"/>
          <w:b w:val="0"/>
          <w:bCs/>
          <w:sz w:val="24"/>
          <w:szCs w:val="24"/>
        </w:rPr>
        <w:t>绩效评价方法和内容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（三）绩效评价工作实施过程</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eastAsia="zh-CN"/>
        </w:rPr>
        <w:t>、</w:t>
      </w:r>
      <w:r>
        <w:rPr>
          <w:rFonts w:hint="eastAsia" w:ascii="宋体" w:hAnsi="宋体" w:eastAsia="宋体" w:cs="宋体"/>
          <w:b w:val="0"/>
          <w:bCs/>
          <w:sz w:val="24"/>
          <w:szCs w:val="24"/>
        </w:rPr>
        <w:t>前期准备</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eastAsia="zh-CN"/>
        </w:rPr>
        <w:t>、</w:t>
      </w:r>
      <w:r>
        <w:rPr>
          <w:rFonts w:hint="eastAsia" w:ascii="宋体" w:hAnsi="宋体" w:eastAsia="宋体" w:cs="宋体"/>
          <w:b w:val="0"/>
          <w:bCs/>
          <w:sz w:val="24"/>
          <w:szCs w:val="24"/>
        </w:rPr>
        <w:t>组织实施过程</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cs="宋体"/>
          <w:b w:val="0"/>
          <w:bCs/>
          <w:sz w:val="24"/>
          <w:szCs w:val="24"/>
          <w:lang w:eastAsia="zh-CN"/>
        </w:rPr>
        <w:t>、</w:t>
      </w:r>
      <w:r>
        <w:rPr>
          <w:rFonts w:hint="eastAsia" w:ascii="宋体" w:hAnsi="宋体" w:eastAsia="宋体" w:cs="宋体"/>
          <w:b w:val="0"/>
          <w:bCs/>
          <w:sz w:val="24"/>
          <w:szCs w:val="24"/>
        </w:rPr>
        <w:t>分析评价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（四）绩效目标的实现程度</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项目产出完成情况及分析</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产出质量情况分析</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3、产出时效</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4、成本控制</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项目公开、公正</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项目完成后效果</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（五）</w:t>
      </w:r>
      <w:r>
        <w:rPr>
          <w:rFonts w:hint="eastAsia" w:ascii="宋体" w:hAnsi="宋体" w:eastAsia="宋体" w:cs="宋体"/>
          <w:b w:val="0"/>
          <w:bCs/>
          <w:sz w:val="24"/>
          <w:szCs w:val="24"/>
        </w:rPr>
        <w:t>项目绩效评价结论</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存在问题及原因分析</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（一）项目目标方面</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（二）项目支出与财务管理方面</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四、有关建议</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五、其他需要说明的问题</w:t>
      </w:r>
    </w:p>
    <w:p>
      <w:pPr>
        <w:pStyle w:val="4"/>
        <w:ind w:left="0" w:leftChars="0" w:firstLine="0" w:firstLineChars="0"/>
        <w:rPr>
          <w:rFonts w:hint="eastAsia"/>
        </w:rPr>
      </w:pPr>
    </w:p>
    <w:p>
      <w:pPr>
        <w:tabs>
          <w:tab w:val="left" w:pos="2835"/>
          <w:tab w:val="left" w:pos="4725"/>
        </w:tabs>
        <w:spacing w:line="940" w:lineRule="exact"/>
        <w:jc w:val="both"/>
        <w:outlineLvl w:val="1"/>
        <w:rPr>
          <w:rFonts w:hint="eastAsia" w:ascii="黑体" w:hAnsi="宋体" w:eastAsia="黑体"/>
          <w:spacing w:val="-16"/>
          <w:w w:val="66"/>
          <w:sz w:val="96"/>
          <w:szCs w:val="96"/>
          <w:lang w:eastAsia="zh-CN"/>
        </w:rPr>
      </w:pPr>
      <w:r>
        <w:rPr>
          <w:rFonts w:hint="eastAsia" w:ascii="黑体" w:hAnsi="宋体" w:eastAsia="黑体"/>
          <w:spacing w:val="-16"/>
          <w:w w:val="66"/>
          <w:sz w:val="96"/>
          <w:szCs w:val="96"/>
          <w:lang w:eastAsia="zh-CN"/>
        </w:rPr>
        <w:t>湖南公众会计师事务所有限公司</w:t>
      </w:r>
    </w:p>
    <w:p>
      <w:pPr>
        <w:keepNext/>
        <w:snapToGrid w:val="0"/>
        <w:spacing w:line="240" w:lineRule="atLeast"/>
        <w:jc w:val="center"/>
        <w:outlineLvl w:val="0"/>
        <w:rPr>
          <w:rFonts w:ascii="黑体" w:hAnsi="Times New Roman"/>
          <w:b/>
          <w:bCs/>
          <w:w w:val="80"/>
          <w:sz w:val="28"/>
        </w:rPr>
      </w:pPr>
      <w:r>
        <w:rPr>
          <w:rFonts w:hint="eastAsia" w:ascii="宋体" w:hAnsi="宋体"/>
          <w:b/>
          <w:bCs/>
          <w:sz w:val="26"/>
        </w:rPr>
        <w:t>HUNAN GONGZHONG CERTIFIED PUBLIC ACCOUNTANTS CO.LTD</w:t>
      </w:r>
    </w:p>
    <w:p>
      <w:pPr>
        <w:adjustRightInd w:val="0"/>
        <w:snapToGrid w:val="0"/>
        <w:spacing w:line="760" w:lineRule="exact"/>
        <w:jc w:val="center"/>
        <w:outlineLvl w:val="0"/>
        <w:rPr>
          <w:rFonts w:hint="eastAsia" w:ascii="楷体_GB2312" w:hAnsi="宋体" w:eastAsia="楷体_GB2312"/>
          <w:b/>
          <w:spacing w:val="20"/>
          <w:sz w:val="36"/>
          <w:szCs w:val="36"/>
          <w:highlight w:val="none"/>
          <w:lang w:eastAsia="zh-CN"/>
        </w:rPr>
      </w:pPr>
      <w:r>
        <w:rPr>
          <w:rFonts w:hint="eastAsia" w:ascii="楷体_GB2312" w:hAnsi="宋体" w:eastAsia="楷体_GB2312"/>
          <w:b/>
          <w:spacing w:val="20"/>
          <w:sz w:val="36"/>
          <w:szCs w:val="36"/>
          <w:lang w:eastAsia="zh-CN"/>
        </w:rPr>
        <w:t>湘公会</w:t>
      </w:r>
      <w:r>
        <w:rPr>
          <w:rFonts w:hint="eastAsia" w:ascii="楷体_GB2312" w:hAnsi="宋体" w:eastAsia="楷体_GB2312"/>
          <w:b/>
          <w:spacing w:val="20"/>
          <w:sz w:val="36"/>
          <w:szCs w:val="36"/>
          <w:highlight w:val="none"/>
          <w:lang w:eastAsia="zh-CN"/>
        </w:rPr>
        <w:t>司（</w:t>
      </w:r>
      <w:r>
        <w:rPr>
          <w:rFonts w:hint="eastAsia" w:ascii="楷体_GB2312" w:hAnsi="宋体" w:eastAsia="楷体_GB2312"/>
          <w:b/>
          <w:spacing w:val="20"/>
          <w:sz w:val="36"/>
          <w:szCs w:val="36"/>
          <w:highlight w:val="none"/>
          <w:lang w:val="en-US" w:eastAsia="zh-CN"/>
        </w:rPr>
        <w:t>绩）</w:t>
      </w:r>
      <w:r>
        <w:rPr>
          <w:rFonts w:hint="eastAsia" w:ascii="楷体_GB2312" w:hAnsi="宋体" w:eastAsia="楷体_GB2312"/>
          <w:b/>
          <w:spacing w:val="20"/>
          <w:sz w:val="36"/>
          <w:szCs w:val="36"/>
          <w:highlight w:val="none"/>
          <w:lang w:eastAsia="zh-CN"/>
        </w:rPr>
        <w:t>字[2023]第 号</w:t>
      </w:r>
    </w:p>
    <w:p>
      <w:pPr>
        <w:adjustRightInd w:val="0"/>
        <w:snapToGrid w:val="0"/>
        <w:spacing w:line="760" w:lineRule="exact"/>
        <w:jc w:val="center"/>
        <w:outlineLvl w:val="0"/>
        <w:rPr>
          <w:rFonts w:hint="default"/>
          <w:lang w:val="en-US" w:eastAsia="zh-CN"/>
        </w:rPr>
      </w:pPr>
      <w:r>
        <w:rPr>
          <w:rFonts w:hint="eastAsia" w:ascii="宋体" w:hAnsi="宋体" w:cs="宋体"/>
          <w:b/>
          <w:bCs w:val="0"/>
          <w:sz w:val="32"/>
          <w:szCs w:val="32"/>
          <w:highlight w:val="none"/>
          <w:lang w:val="en-US" w:eastAsia="zh-CN"/>
        </w:rPr>
        <w:t xml:space="preserve">  2021年度云溪区自然资源综</w:t>
      </w:r>
      <w:r>
        <w:rPr>
          <w:rFonts w:hint="eastAsia" w:ascii="宋体" w:hAnsi="宋体" w:cs="宋体"/>
          <w:b/>
          <w:bCs w:val="0"/>
          <w:sz w:val="32"/>
          <w:szCs w:val="32"/>
          <w:lang w:val="en-US" w:eastAsia="zh-CN"/>
        </w:rPr>
        <w:t>合性项目</w:t>
      </w:r>
    </w:p>
    <w:p>
      <w:pPr>
        <w:spacing w:line="760" w:lineRule="exact"/>
        <w:jc w:val="center"/>
        <w:outlineLvl w:val="0"/>
        <w:rPr>
          <w:rFonts w:hint="eastAsia" w:ascii="黑体" w:hAnsi="宋体" w:eastAsia="黑体"/>
          <w:b/>
          <w:sz w:val="44"/>
        </w:rPr>
      </w:pPr>
      <w:r>
        <w:rPr>
          <w:rFonts w:hint="eastAsia" w:ascii="黑体" w:hAnsi="宋体" w:eastAsia="黑体"/>
          <w:b/>
          <w:sz w:val="44"/>
          <w:lang w:eastAsia="zh-CN"/>
        </w:rPr>
        <w:t>重点</w:t>
      </w:r>
      <w:r>
        <w:rPr>
          <w:rFonts w:hint="eastAsia" w:ascii="黑体" w:hAnsi="宋体" w:eastAsia="黑体"/>
          <w:b/>
          <w:sz w:val="44"/>
        </w:rPr>
        <w:t>绩效评价报告</w:t>
      </w:r>
    </w:p>
    <w:p>
      <w:pPr>
        <w:numPr>
          <w:ilvl w:val="0"/>
          <w:numId w:val="0"/>
        </w:numPr>
        <w:autoSpaceDE w:val="0"/>
        <w:autoSpaceDN w:val="0"/>
        <w:adjustRightInd w:val="0"/>
        <w:ind w:firstLine="640" w:firstLineChars="200"/>
        <w:rPr>
          <w:rFonts w:hint="eastAsia" w:ascii="仿宋_GB2312" w:hAnsi="仿宋_GB2312" w:eastAsia="仿宋_GB2312" w:cs="仿宋_GB2312"/>
          <w:kern w:val="0"/>
          <w:sz w:val="32"/>
          <w:szCs w:val="32"/>
          <w:lang w:val="en-US" w:eastAsia="zh-CN" w:bidi="ar-SA"/>
        </w:rPr>
      </w:pPr>
    </w:p>
    <w:p>
      <w:pPr>
        <w:keepNext w:val="0"/>
        <w:keepLines w:val="0"/>
        <w:pageBreakBefore w:val="0"/>
        <w:numPr>
          <w:ilvl w:val="0"/>
          <w:numId w:val="0"/>
        </w:numPr>
        <w:kinsoku/>
        <w:wordWrap/>
        <w:overflowPunct/>
        <w:topLinePunct w:val="0"/>
        <w:autoSpaceDE w:val="0"/>
        <w:autoSpaceDN w:val="0"/>
        <w:bidi w:val="0"/>
        <w:adjustRightInd w:val="0"/>
        <w:snapToGrid/>
        <w:spacing w:line="15" w:lineRule="auto"/>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云溪区财政局：</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我们接受委托，对岳阳市云溪区自然资源局（以下简称：“自然资源局”）组织实施的“2021年度云溪区自然资源综合性项目”（以下称“项目”）的项目支出实施绩效评价。</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自然资源局应当对其所提供的项目绩效评价资料的真实性、合法性和完整性负责。我们的责任是对这些资料发表绩效评价意见。我们的绩效评价意见是根据财政部《财政支出绩效评价管理暂行办法》、中国注册会计师协会《会计师事务所财政支出绩效评价业务指引》等有关文件要求进行的。在绩效评价过程中，我们结合绩效评价项目具体情况及委托要求，对项目资金支出实施绩效评价，现将有关情况报告如下： </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一、项目概况</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（一）项目评价依据</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1、《岳阳市云溪区财政局关于全面开展2023年财政资金绩效评价工作的通知》文件（以下简称《通知》）。</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2、《岳阳市预算绩效管理实施办法》（岳办发〔2020〕4号）</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3、《行政事业单位财务管理制度》等相</w:t>
      </w:r>
      <w:r>
        <w:rPr>
          <w:rFonts w:hint="eastAsia" w:asciiTheme="minorEastAsia" w:hAnsiTheme="minorEastAsia" w:eastAsiaTheme="minorEastAsia" w:cstheme="minorEastAsia"/>
          <w:kern w:val="0"/>
          <w:sz w:val="28"/>
          <w:szCs w:val="28"/>
          <w:lang w:val="en-US" w:eastAsia="zh-CN" w:bidi="ar-SA"/>
        </w:rPr>
        <w:t>关规定。</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default"/>
          <w:lang w:val="en-US" w:eastAsia="zh-CN"/>
        </w:rPr>
      </w:pPr>
      <w:r>
        <w:rPr>
          <w:rFonts w:hint="eastAsia" w:asciiTheme="minorEastAsia" w:hAnsiTheme="minorEastAsia" w:eastAsiaTheme="minorEastAsia" w:cstheme="minorEastAsia"/>
          <w:kern w:val="0"/>
          <w:sz w:val="28"/>
          <w:szCs w:val="28"/>
          <w:lang w:val="en-US" w:eastAsia="zh-CN" w:bidi="ar-SA"/>
        </w:rPr>
        <w:t>4、项目单位绩效自评资料、年度工作总结、财务资料等其他相关资料。</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zh-CN" w:eastAsia="zh-CN" w:bidi="ar-SA"/>
        </w:rPr>
      </w:pPr>
      <w:r>
        <w:rPr>
          <w:rFonts w:hint="eastAsia" w:asciiTheme="minorEastAsia" w:hAnsiTheme="minorEastAsia" w:eastAsiaTheme="minorEastAsia" w:cstheme="minorEastAsia"/>
          <w:b/>
          <w:bCs/>
          <w:kern w:val="0"/>
          <w:sz w:val="28"/>
          <w:szCs w:val="28"/>
          <w:lang w:val="zh-CN" w:eastAsia="zh-CN" w:bidi="ar-SA"/>
        </w:rPr>
        <w:t>（二）项目单位基本情况</w:t>
      </w:r>
    </w:p>
    <w:p>
      <w:pPr>
        <w:pStyle w:val="16"/>
        <w:ind w:firstLine="560" w:firstLineChars="200"/>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岳阳市云溪区自然资源局是区政府工作部门，为正科级行政单位。区自然资源局主要负责自然资源的调查、监测和评价，自然资源的登记工作，统筹国土空间的生态修复等工作，贯彻落实党中央、省委和市委关于自然资源工作的方针政策和决策部署，落实区委工作要求，在履行职责过程中坚持和加强党对自然资源工作的集中统一领导。</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根据工作职责，设有综合办公室、自然资源管理股、空间规划和生态修复股等3个内设股室，所属二级机构有8个，分别是云溪街道自然资源所、陆城自然资源所、路口镇自然资源所、长岭自然资源所、岳阳市云溪区土地储备中心（征拆安置服务中心）、岳阳市云溪区自然资源综合行政执法大队、岳阳市云溪区不动产登记中心（副科级）、岳阳市云溪区自然资源事务所（副科级）；云溪区自然资源局现有79人，其中在职人员63人、退休人员16人。</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default" w:asciiTheme="minorEastAsia" w:hAnsiTheme="minorEastAsia" w:eastAsiaTheme="minorEastAsia" w:cstheme="minorEastAsia"/>
          <w:b/>
          <w:bCs/>
          <w:kern w:val="0"/>
          <w:sz w:val="28"/>
          <w:szCs w:val="28"/>
          <w:highlight w:val="none"/>
          <w:lang w:val="en-US" w:eastAsia="zh-CN" w:bidi="ar-SA"/>
        </w:rPr>
      </w:pPr>
      <w:r>
        <w:rPr>
          <w:rFonts w:hint="eastAsia" w:asciiTheme="minorEastAsia" w:hAnsiTheme="minorEastAsia" w:eastAsiaTheme="minorEastAsia" w:cstheme="minorEastAsia"/>
          <w:b/>
          <w:bCs/>
          <w:kern w:val="0"/>
          <w:sz w:val="28"/>
          <w:szCs w:val="28"/>
          <w:highlight w:val="none"/>
          <w:lang w:val="zh-CN" w:eastAsia="zh-CN" w:bidi="ar-SA"/>
        </w:rPr>
        <w:t>（三）项目基本情况</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1、根据</w:t>
      </w:r>
      <w:r>
        <w:rPr>
          <w:rFonts w:hint="eastAsia" w:asciiTheme="minorEastAsia" w:hAnsiTheme="minorEastAsia" w:eastAsiaTheme="minorEastAsia" w:cstheme="minorEastAsia"/>
          <w:kern w:val="0"/>
          <w:sz w:val="28"/>
          <w:szCs w:val="28"/>
          <w:highlight w:val="none"/>
          <w:lang w:val="en-US" w:eastAsia="zh-CN" w:bidi="ar-SA"/>
        </w:rPr>
        <w:t>云溪区财政局下发的《岳阳市云溪区财政局关于全面开展2023年财政资金绩效评价工作的通知》文件，本项</w:t>
      </w:r>
      <w:r>
        <w:rPr>
          <w:rFonts w:hint="eastAsia" w:asciiTheme="minorEastAsia" w:hAnsiTheme="minorEastAsia" w:eastAsiaTheme="minorEastAsia" w:cstheme="minorEastAsia"/>
          <w:kern w:val="0"/>
          <w:sz w:val="28"/>
          <w:szCs w:val="28"/>
          <w:lang w:val="en-US" w:eastAsia="zh-CN" w:bidi="ar-SA"/>
        </w:rPr>
        <w:t>目绩效评价范围为：2021年度云溪区自然资源综合性项目。</w:t>
      </w:r>
    </w:p>
    <w:p>
      <w:pPr>
        <w:ind w:firstLine="548" w:firstLineChars="196"/>
        <w:rPr>
          <w:rFonts w:hint="default"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2、2021年度云溪区自然资源综合性项目资金主要用于2021年自然资源局专项，项目在2021年已经实施，资金申请纳入了2022年年初预算。</w:t>
      </w:r>
    </w:p>
    <w:p>
      <w:pPr>
        <w:keepNext w:val="0"/>
        <w:keepLines w:val="0"/>
        <w:pageBreakBefore w:val="0"/>
        <w:kinsoku/>
        <w:wordWrap/>
        <w:overflowPunct/>
        <w:topLinePunct w:val="0"/>
        <w:bidi w:val="0"/>
        <w:snapToGrid/>
        <w:spacing w:line="15" w:lineRule="auto"/>
        <w:ind w:firstLine="562" w:firstLineChars="200"/>
        <w:textAlignment w:val="auto"/>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（四）项目绩效目标及项目的主要内容</w:t>
      </w:r>
    </w:p>
    <w:p>
      <w:pPr>
        <w:pStyle w:val="23"/>
        <w:keepNext w:val="0"/>
        <w:keepLines w:val="0"/>
        <w:pageBreakBefore w:val="0"/>
        <w:widowControl/>
        <w:suppressLineNumbers w:val="0"/>
        <w:kinsoku/>
        <w:wordWrap/>
        <w:overflowPunct/>
        <w:topLinePunct w:val="0"/>
        <w:bidi w:val="0"/>
        <w:snapToGrid/>
        <w:spacing w:before="0" w:beforeAutospacing="0" w:after="0" w:afterAutospacing="0" w:line="15" w:lineRule="auto"/>
        <w:ind w:right="0" w:firstLine="562" w:firstLineChars="200"/>
        <w:jc w:val="both"/>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b/>
          <w:bCs/>
          <w:sz w:val="28"/>
          <w:szCs w:val="28"/>
          <w:lang w:val="en-US" w:eastAsia="zh-CN"/>
        </w:rPr>
        <w:t>1、项目总体目标</w:t>
      </w:r>
      <w:r>
        <w:rPr>
          <w:rFonts w:hint="eastAsia" w:asciiTheme="minorEastAsia" w:hAnsiTheme="minorEastAsia" w:eastAsiaTheme="minorEastAsia" w:cstheme="minorEastAsia"/>
          <w:b/>
          <w:bCs/>
          <w:sz w:val="28"/>
          <w:szCs w:val="28"/>
          <w:highlight w:val="none"/>
          <w:lang w:val="en-US" w:eastAsia="zh-CN"/>
        </w:rPr>
        <w:t>：</w:t>
      </w:r>
    </w:p>
    <w:p>
      <w:pPr>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对云溪区范围内的水流、森林、山岭、草原、荒地、滩涂以及探明储量的矿产资源等自然资源的所有权和所有自然生态空间统一进行确权登记。</w:t>
      </w:r>
    </w:p>
    <w:p>
      <w:pPr>
        <w:keepNext w:val="0"/>
        <w:keepLines w:val="0"/>
        <w:pageBreakBefore w:val="0"/>
        <w:numPr>
          <w:ilvl w:val="0"/>
          <w:numId w:val="2"/>
        </w:numPr>
        <w:kinsoku/>
        <w:wordWrap/>
        <w:overflowPunct/>
        <w:topLinePunct w:val="0"/>
        <w:bidi w:val="0"/>
        <w:snapToGrid/>
        <w:spacing w:line="15" w:lineRule="auto"/>
        <w:ind w:firstLine="562"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具体目标</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（1）对2020年12月31日以前城市规划范围内且没有纳入征地拆迁的以及2020年新增的农村宅基地和集体建设用地开展补充调查，经测算，全区需要补充调查的农村宅基地和集体建设用地总宗地数约为4000宗。</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（2）组织开展设施农用地调查测绘、按照有关要求补划永久基本农田、在监管系统录入设施农业用地信息和开展外业调查等工作，2021年云溪区设施农业用地上图入库任务为74.9192公顷。</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（3）新云溪区基准地价制定数据库上交省厅、并形成正式文本。</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（4）完成上报修改完善的控规成果和与城市总体规划强制性内容不符地块的汇总情况，涉及云溪区城乡规划调整的项目为11个。</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（5）对云溪区城镇开发边界内四个片区的现状1：500地形图进行更新测量，总工作量为50.16平方公里，计划形成控制点45个。</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（6）完成10个村庄规划编制。</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（7）为整合现有分散的自然资源治理手段，优化国土空间生态安全格局，改善城乡人居环境，科学开展云溪区“十四五”空间生态修复规划编制工作。</w:t>
      </w:r>
    </w:p>
    <w:p>
      <w:pPr>
        <w:keepNext w:val="0"/>
        <w:keepLines w:val="0"/>
        <w:pageBreakBefore w:val="0"/>
        <w:kinsoku/>
        <w:wordWrap/>
        <w:overflowPunct/>
        <w:topLinePunct w:val="0"/>
        <w:bidi w:val="0"/>
        <w:snapToGrid/>
        <w:spacing w:line="15" w:lineRule="auto"/>
        <w:ind w:firstLine="281" w:firstLineChars="1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（五）</w:t>
      </w:r>
      <w:r>
        <w:rPr>
          <w:rFonts w:hint="eastAsia" w:asciiTheme="minorEastAsia" w:hAnsiTheme="minorEastAsia" w:eastAsiaTheme="minorEastAsia" w:cstheme="minorEastAsia"/>
          <w:b/>
          <w:sz w:val="28"/>
          <w:szCs w:val="28"/>
        </w:rPr>
        <w:t>项目资金情况</w:t>
      </w:r>
    </w:p>
    <w:p>
      <w:pPr>
        <w:keepNext w:val="0"/>
        <w:keepLines w:val="0"/>
        <w:pageBreakBefore w:val="0"/>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项目</w:t>
      </w:r>
      <w:r>
        <w:rPr>
          <w:rFonts w:hint="eastAsia" w:asciiTheme="minorEastAsia" w:hAnsiTheme="minorEastAsia" w:eastAsiaTheme="minorEastAsia" w:cstheme="minorEastAsia"/>
          <w:b/>
          <w:sz w:val="28"/>
          <w:szCs w:val="28"/>
          <w:lang w:eastAsia="zh-CN"/>
        </w:rPr>
        <w:t>预算：</w:t>
      </w:r>
      <w:r>
        <w:rPr>
          <w:rFonts w:hint="eastAsia" w:asciiTheme="minorEastAsia" w:hAnsiTheme="minorEastAsia" w:eastAsiaTheme="minorEastAsia" w:cstheme="minorEastAsia"/>
          <w:b w:val="0"/>
          <w:bCs/>
          <w:sz w:val="28"/>
          <w:szCs w:val="28"/>
          <w:highlight w:val="none"/>
          <w:lang w:val="en-US" w:eastAsia="zh-CN"/>
        </w:rPr>
        <w:t>520</w:t>
      </w:r>
      <w:r>
        <w:rPr>
          <w:rFonts w:hint="eastAsia" w:asciiTheme="minorEastAsia" w:hAnsiTheme="minorEastAsia" w:eastAsiaTheme="minorEastAsia" w:cstheme="minorEastAsia"/>
          <w:sz w:val="28"/>
          <w:szCs w:val="28"/>
          <w:highlight w:val="none"/>
          <w:lang w:val="en-US" w:eastAsia="zh-CN"/>
        </w:rPr>
        <w:t>万</w:t>
      </w:r>
      <w:r>
        <w:rPr>
          <w:rFonts w:hint="eastAsia" w:asciiTheme="minorEastAsia" w:hAnsiTheme="minorEastAsia" w:eastAsiaTheme="minorEastAsia" w:cstheme="minorEastAsia"/>
          <w:sz w:val="28"/>
          <w:szCs w:val="28"/>
          <w:highlight w:val="none"/>
        </w:rPr>
        <w:t>元。</w:t>
      </w:r>
    </w:p>
    <w:p>
      <w:pPr>
        <w:keepNext w:val="0"/>
        <w:keepLines w:val="0"/>
        <w:pageBreakBefore w:val="0"/>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rPr>
        <w:t>资金来源和到位情况</w:t>
      </w:r>
      <w:r>
        <w:rPr>
          <w:rFonts w:hint="eastAsia" w:asciiTheme="minorEastAsia" w:hAnsiTheme="minorEastAsia" w:eastAsiaTheme="minorEastAsia" w:cstheme="minorEastAsia"/>
          <w:b/>
          <w:sz w:val="28"/>
          <w:szCs w:val="28"/>
          <w:lang w:eastAsia="zh-CN"/>
        </w:rPr>
        <w:t>：</w:t>
      </w:r>
    </w:p>
    <w:p>
      <w:pPr>
        <w:keepNext w:val="0"/>
        <w:keepLines w:val="0"/>
        <w:pageBreakBefore w:val="0"/>
        <w:kinsoku/>
        <w:wordWrap/>
        <w:overflowPunct/>
        <w:topLinePunct w:val="0"/>
        <w:autoSpaceDE w:val="0"/>
        <w:autoSpaceDN w:val="0"/>
        <w:bidi w:val="0"/>
        <w:adjustRightInd w:val="0"/>
        <w:snapToGrid/>
        <w:spacing w:line="15" w:lineRule="auto"/>
        <w:ind w:firstLine="560" w:firstLineChars="200"/>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1）</w:t>
      </w:r>
      <w:r>
        <w:rPr>
          <w:rFonts w:hint="eastAsia" w:asciiTheme="minorEastAsia" w:hAnsiTheme="minorEastAsia" w:eastAsiaTheme="minorEastAsia" w:cstheme="minorEastAsia"/>
          <w:bCs/>
          <w:kern w:val="0"/>
          <w:sz w:val="28"/>
          <w:szCs w:val="28"/>
        </w:rPr>
        <w:t>项目资金来源均为</w:t>
      </w:r>
      <w:r>
        <w:rPr>
          <w:rFonts w:hint="eastAsia" w:asciiTheme="minorEastAsia" w:hAnsiTheme="minorEastAsia" w:eastAsiaTheme="minorEastAsia" w:cstheme="minorEastAsia"/>
          <w:bCs/>
          <w:kern w:val="0"/>
          <w:sz w:val="28"/>
          <w:szCs w:val="28"/>
          <w:highlight w:val="none"/>
        </w:rPr>
        <w:t>财政拨款</w:t>
      </w:r>
      <w:r>
        <w:rPr>
          <w:rFonts w:hint="eastAsia" w:asciiTheme="minorEastAsia" w:hAnsiTheme="minorEastAsia" w:eastAsiaTheme="minorEastAsia" w:cstheme="minorEastAsia"/>
          <w:bCs/>
          <w:sz w:val="28"/>
          <w:szCs w:val="28"/>
        </w:rPr>
        <w:t>。</w:t>
      </w:r>
    </w:p>
    <w:p>
      <w:pPr>
        <w:pStyle w:val="16"/>
        <w:spacing w:line="520" w:lineRule="exact"/>
        <w:ind w:firstLine="560" w:firstLineChars="200"/>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bCs/>
          <w:sz w:val="28"/>
          <w:szCs w:val="28"/>
          <w:highlight w:val="none"/>
          <w:lang w:val="en-US" w:eastAsia="zh-CN"/>
        </w:rPr>
        <w:t>（2）资金到位及时效：2022年度共计收到资金520万元，其中：2022年1月收到461万元，2022年11月收到59万元，</w:t>
      </w:r>
      <w:r>
        <w:rPr>
          <w:rFonts w:hint="eastAsia" w:asciiTheme="minorEastAsia" w:hAnsiTheme="minorEastAsia" w:eastAsiaTheme="minorEastAsia" w:cstheme="minorEastAsia"/>
          <w:kern w:val="0"/>
          <w:sz w:val="28"/>
          <w:szCs w:val="28"/>
          <w:highlight w:val="none"/>
          <w:lang w:val="en-US" w:eastAsia="zh-CN" w:bidi="ar-SA"/>
        </w:rPr>
        <w:t>资金到位率为100%，明细如下：</w:t>
      </w:r>
    </w:p>
    <w:tbl>
      <w:tblPr>
        <w:tblStyle w:val="26"/>
        <w:tblW w:w="876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9"/>
        <w:gridCol w:w="3065"/>
        <w:gridCol w:w="2215"/>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767"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日期</w:t>
            </w: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市指标文号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2022年1月20日</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云溪区1：500基础数据更新测绘等项目</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岳云财基指〔2022〕0014号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2022年11月11日</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2021年自然资源项目</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岳财预〔2022〕0132号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1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合计金额</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5,200,000.00 </w:t>
            </w:r>
          </w:p>
        </w:tc>
      </w:tr>
    </w:tbl>
    <w:p>
      <w:pPr>
        <w:rPr>
          <w:rFonts w:hint="default"/>
          <w:lang w:val="en-US" w:eastAsia="zh-CN"/>
        </w:rPr>
      </w:pPr>
    </w:p>
    <w:p>
      <w:pPr>
        <w:keepNext w:val="0"/>
        <w:keepLines w:val="0"/>
        <w:pageBreakBefore w:val="0"/>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SA"/>
        </w:rPr>
        <w:t xml:space="preserve"> </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实际使用资金情况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atLeast"/>
        <w:ind w:firstLine="560"/>
        <w:textAlignment w:val="auto"/>
        <w:rPr>
          <w:rFonts w:hint="default" w:asciiTheme="minorEastAsia" w:hAnsiTheme="minorEastAsia" w:eastAsiaTheme="minorEastAsia" w:cstheme="minorEastAsia"/>
          <w:bCs/>
          <w:kern w:val="2"/>
          <w:sz w:val="28"/>
          <w:szCs w:val="28"/>
          <w:highlight w:val="none"/>
          <w:lang w:val="en-US" w:eastAsia="zh-CN" w:bidi="ar-SA"/>
        </w:rPr>
      </w:pPr>
      <w:r>
        <w:rPr>
          <w:rFonts w:hint="eastAsia" w:asciiTheme="minorEastAsia" w:hAnsiTheme="minorEastAsia" w:eastAsiaTheme="minorEastAsia" w:cstheme="minorEastAsia"/>
          <w:bCs/>
          <w:kern w:val="2"/>
          <w:sz w:val="28"/>
          <w:szCs w:val="28"/>
          <w:highlight w:val="none"/>
          <w:lang w:val="en-US" w:eastAsia="zh-CN" w:bidi="ar-SA"/>
        </w:rPr>
        <w:t>云溪区自然资源综合性专项资金2022年总支出590.03万元，其中：1:500地形图数据测绘186.25万元、云溪区村庄规划编制项目107万元、土地定级与基准地价更新等项目136.3万元、空间生态修复规划编制20万元、房地一体确权登记36万元、设施农用土上图入库项目56.48万元、云溪区控规自查自检项目48万元；明细如下：</w:t>
      </w:r>
    </w:p>
    <w:tbl>
      <w:tblPr>
        <w:tblStyle w:val="26"/>
        <w:tblW w:w="85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1510"/>
        <w:gridCol w:w="1859"/>
        <w:gridCol w:w="2030"/>
        <w:gridCol w:w="1400"/>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9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序列</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项目内容</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承包公司名称</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凭证号凭证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合同金额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实际金额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1:500地形图数据测绘</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湖南省地质测绘有限公司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2022年11月37号凭证</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609,500.00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121,900.00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湖南省地质测绘有限公司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2022年1月28号凭证</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487,600.00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湖南省勘察测绘院</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2022年11月37号凭证</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1,253,000.00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250,600.00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湖南省勘察测绘院</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2022年1月28号凭证</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1,002,400.00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云溪区村庄规划编制项目</w:t>
            </w:r>
          </w:p>
        </w:tc>
        <w:tc>
          <w:tcPr>
            <w:tcW w:w="1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岳阳市云港规划勘测设计有限责任公司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2022年1月30号凭证</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1,070,000.00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856,000.00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2022年12月60号凭证</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214,000.00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集体建设用地基准地价</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江西地源土地房地产评估规划测绘有限公司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2022年10月13号凭证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385,000.00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385,000.00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农用地分等定级</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江西地源土地房地产评估规划测绘有限公司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2022年10月13号凭证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339,000.00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339,000.00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土地定级与基准地价更新</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湖南正阳房地产评估咨询有限公司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2022年10月12号凭证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348,000.00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348,000.00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城镇标定地价制定与更新</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湖南正阳房地产评估咨询有限公司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2022年10月12号凭证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291,000.00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291,000.00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空间生态修复规划编制</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湖南省国土资源规划院</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2023年4月18号凭证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200,000.00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房地一体确权登记</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湖南省勘测设计院有限公司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2022年9月23号凭证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1,180,000.00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333,000.00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房地一体确权登记</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湖南省地质测绘院有限公司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2022年9月23号凭证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45,000.00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设施农用土上图入库项目</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创辉达设计有限公司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2022年1月29号凭证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564,774.00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564,774.00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云溪区控规自查自检项目</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创辉达设计有限公司</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2022年1月29号凭证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480,000.00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480,000.00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合计金额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6,765,274.00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 xml:space="preserve">5,900,274.00 </w:t>
            </w:r>
          </w:p>
        </w:tc>
      </w:tr>
    </w:tbl>
    <w:p>
      <w:pPr>
        <w:spacing w:line="600" w:lineRule="exact"/>
        <w:ind w:firstLine="562" w:firstLineChars="200"/>
        <w:jc w:val="left"/>
        <w:rPr>
          <w:rFonts w:hint="default" w:ascii="宋体" w:hAnsi="宋体" w:cs="宋体"/>
          <w:b w:val="0"/>
          <w:bCs w:val="0"/>
          <w:kern w:val="2"/>
          <w:sz w:val="28"/>
          <w:szCs w:val="28"/>
          <w:highlight w:val="yellow"/>
          <w:lang w:val="en-US" w:eastAsia="zh-CN" w:bidi="ar-SA"/>
        </w:rPr>
      </w:pPr>
      <w:r>
        <w:rPr>
          <w:rFonts w:hint="eastAsia" w:asciiTheme="minorEastAsia" w:hAnsiTheme="minorEastAsia" w:eastAsiaTheme="minorEastAsia" w:cstheme="minorEastAsia"/>
          <w:b/>
          <w:bCs/>
          <w:sz w:val="28"/>
          <w:szCs w:val="28"/>
          <w:highlight w:val="none"/>
          <w:lang w:val="en-US" w:eastAsia="zh-CN"/>
        </w:rPr>
        <w:t>4、资金结余情况：</w:t>
      </w:r>
      <w:r>
        <w:rPr>
          <w:rFonts w:hint="eastAsia" w:asciiTheme="minorEastAsia" w:hAnsiTheme="minorEastAsia" w:eastAsiaTheme="minorEastAsia" w:cstheme="minorEastAsia"/>
          <w:b w:val="0"/>
          <w:bCs w:val="0"/>
          <w:sz w:val="28"/>
          <w:szCs w:val="28"/>
          <w:highlight w:val="none"/>
          <w:lang w:val="en-US" w:eastAsia="zh-CN"/>
        </w:rPr>
        <w:t>项目收入</w:t>
      </w:r>
      <w:r>
        <w:rPr>
          <w:rFonts w:hint="eastAsia" w:asciiTheme="minorEastAsia" w:hAnsiTheme="minorEastAsia" w:eastAsiaTheme="minorEastAsia" w:cstheme="minorEastAsia"/>
          <w:b w:val="0"/>
          <w:bCs w:val="0"/>
          <w:kern w:val="0"/>
          <w:sz w:val="28"/>
          <w:szCs w:val="28"/>
          <w:highlight w:val="none"/>
          <w:lang w:val="en-US" w:eastAsia="zh-CN" w:bidi="ar-SA"/>
        </w:rPr>
        <w:t>520万元，</w:t>
      </w:r>
      <w:r>
        <w:rPr>
          <w:rFonts w:hint="eastAsia" w:asciiTheme="minorEastAsia" w:hAnsiTheme="minorEastAsia" w:eastAsiaTheme="minorEastAsia" w:cstheme="minorEastAsia"/>
          <w:b w:val="0"/>
          <w:bCs w:val="0"/>
          <w:sz w:val="28"/>
          <w:szCs w:val="28"/>
          <w:highlight w:val="none"/>
        </w:rPr>
        <w:t>实际</w:t>
      </w:r>
      <w:r>
        <w:rPr>
          <w:rFonts w:hint="eastAsia" w:asciiTheme="minorEastAsia" w:hAnsiTheme="minorEastAsia" w:eastAsiaTheme="minorEastAsia" w:cstheme="minorEastAsia"/>
          <w:b w:val="0"/>
          <w:bCs w:val="0"/>
          <w:sz w:val="28"/>
          <w:szCs w:val="28"/>
          <w:highlight w:val="none"/>
          <w:lang w:eastAsia="zh-CN"/>
        </w:rPr>
        <w:t>共支出</w:t>
      </w:r>
      <w:r>
        <w:rPr>
          <w:rFonts w:hint="eastAsia" w:asciiTheme="minorEastAsia" w:hAnsiTheme="minorEastAsia" w:eastAsiaTheme="minorEastAsia" w:cstheme="minorEastAsia"/>
          <w:b w:val="0"/>
          <w:bCs w:val="0"/>
          <w:kern w:val="2"/>
          <w:sz w:val="28"/>
          <w:szCs w:val="28"/>
          <w:highlight w:val="none"/>
          <w:lang w:val="en-US" w:eastAsia="zh-CN" w:bidi="ar-SA"/>
        </w:rPr>
        <w:t>590.03</w:t>
      </w:r>
      <w:r>
        <w:rPr>
          <w:rFonts w:hint="eastAsia" w:ascii="宋体" w:hAnsi="宋体" w:eastAsia="宋体" w:cs="宋体"/>
          <w:b w:val="0"/>
          <w:bCs w:val="0"/>
          <w:kern w:val="2"/>
          <w:sz w:val="28"/>
          <w:szCs w:val="28"/>
          <w:highlight w:val="none"/>
          <w:lang w:val="en-US" w:eastAsia="zh-CN" w:bidi="ar-SA"/>
        </w:rPr>
        <w:t>万</w:t>
      </w:r>
      <w:r>
        <w:rPr>
          <w:rFonts w:hint="eastAsia" w:ascii="宋体" w:hAnsi="宋体" w:eastAsia="宋体" w:cs="宋体"/>
          <w:b w:val="0"/>
          <w:bCs w:val="0"/>
          <w:sz w:val="28"/>
          <w:szCs w:val="28"/>
          <w:highlight w:val="none"/>
        </w:rPr>
        <w:t>元，</w:t>
      </w:r>
      <w:r>
        <w:rPr>
          <w:rFonts w:hint="eastAsia" w:ascii="宋体" w:hAnsi="宋体" w:cs="宋体"/>
          <w:b w:val="0"/>
          <w:bCs w:val="0"/>
          <w:sz w:val="28"/>
          <w:szCs w:val="28"/>
          <w:highlight w:val="none"/>
          <w:lang w:val="en-US" w:eastAsia="zh-CN"/>
        </w:rPr>
        <w:t>超出70.03万元。</w:t>
      </w:r>
    </w:p>
    <w:p>
      <w:pPr>
        <w:spacing w:line="60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5、资金管理制度情况</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自然资源局提供了</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财务管理办法</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制度中包含了预算管理、经费审批规定及报账程序、支出项目管理、资产管理、监督管理、财经纪律等制度，2021年专项按湖南省自然资源厅文件执行</w:t>
      </w:r>
      <w:r>
        <w:rPr>
          <w:rFonts w:hint="eastAsia" w:asciiTheme="minorEastAsia" w:hAnsiTheme="minorEastAsia" w:eastAsiaTheme="minorEastAsia" w:cstheme="minorEastAsia"/>
          <w:sz w:val="28"/>
          <w:szCs w:val="28"/>
          <w:highlight w:val="none"/>
        </w:rPr>
        <w:t>。</w:t>
      </w:r>
    </w:p>
    <w:p>
      <w:pPr>
        <w:ind w:firstLine="843" w:firstLineChars="3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二、绩效评价工作情况</w:t>
      </w:r>
    </w:p>
    <w:p>
      <w:pPr>
        <w:ind w:firstLine="689" w:firstLineChars="245"/>
        <w:rPr>
          <w:rFonts w:hint="eastAsia" w:asciiTheme="minorEastAsia" w:hAnsiTheme="minorEastAsia" w:eastAsiaTheme="minorEastAsia" w:cstheme="minorEastAsia"/>
          <w:b/>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（一）绩效评价的目的</w:t>
      </w:r>
    </w:p>
    <w:p>
      <w:pPr>
        <w:ind w:firstLine="560"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sz w:val="28"/>
          <w:szCs w:val="28"/>
          <w:highlight w:val="none"/>
        </w:rPr>
        <w:t>通过对项目的绩效评价，了解该项目基本立项情况；项目的资金来源、投向和管理情况；项目组织工作实施情况；项目投入是否达到预期目标；总结经验，分析问题，</w:t>
      </w:r>
      <w:r>
        <w:rPr>
          <w:rFonts w:hint="eastAsia" w:asciiTheme="minorEastAsia" w:hAnsiTheme="minorEastAsia" w:eastAsiaTheme="minorEastAsia" w:cstheme="minorEastAsia"/>
          <w:bCs/>
          <w:sz w:val="28"/>
          <w:szCs w:val="28"/>
          <w:highlight w:val="none"/>
        </w:rPr>
        <w:t>优化项目资金管理。</w:t>
      </w:r>
    </w:p>
    <w:p>
      <w:pPr>
        <w:tabs>
          <w:tab w:val="left" w:pos="5760"/>
        </w:tabs>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（二）绩效评价原则、指标体系</w:t>
      </w:r>
      <w:r>
        <w:rPr>
          <w:rFonts w:hint="eastAsia" w:asciiTheme="minorEastAsia" w:hAnsiTheme="minorEastAsia" w:eastAsiaTheme="minorEastAsia" w:cstheme="minorEastAsia"/>
          <w:b/>
          <w:sz w:val="28"/>
          <w:szCs w:val="28"/>
          <w:highlight w:val="none"/>
          <w:lang w:eastAsia="zh-CN"/>
        </w:rPr>
        <w:t>及</w:t>
      </w:r>
      <w:r>
        <w:rPr>
          <w:rFonts w:hint="eastAsia" w:asciiTheme="minorEastAsia" w:hAnsiTheme="minorEastAsia" w:eastAsiaTheme="minorEastAsia" w:cstheme="minorEastAsia"/>
          <w:b/>
          <w:sz w:val="28"/>
          <w:szCs w:val="28"/>
          <w:highlight w:val="none"/>
        </w:rPr>
        <w:t>标准和评价方法</w:t>
      </w:r>
    </w:p>
    <w:p>
      <w:pPr>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1.</w:t>
      </w:r>
      <w:r>
        <w:rPr>
          <w:rFonts w:hint="eastAsia" w:asciiTheme="minorEastAsia" w:hAnsiTheme="minorEastAsia" w:eastAsiaTheme="minorEastAsia" w:cstheme="minorEastAsia"/>
          <w:b/>
          <w:sz w:val="28"/>
          <w:szCs w:val="28"/>
          <w:highlight w:val="none"/>
        </w:rPr>
        <w:t>绩效评价原则</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遵循科学规范、公正公开和绩效相关的原则。</w:t>
      </w:r>
    </w:p>
    <w:p>
      <w:pPr>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2.绩效指标体系及标准</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指标体系包括共性和个性指标两部分，本次主要参照了财政局制定的《</w:t>
      </w:r>
      <w:r>
        <w:rPr>
          <w:rFonts w:hint="eastAsia" w:asciiTheme="minorEastAsia" w:hAnsiTheme="minorEastAsia" w:eastAsiaTheme="minorEastAsia" w:cstheme="minorEastAsia"/>
          <w:sz w:val="28"/>
          <w:szCs w:val="28"/>
          <w:highlight w:val="none"/>
          <w:lang w:val="en-US" w:eastAsia="zh-CN"/>
        </w:rPr>
        <w:t>云溪区</w:t>
      </w:r>
      <w:r>
        <w:rPr>
          <w:rFonts w:hint="eastAsia" w:asciiTheme="minorEastAsia" w:hAnsiTheme="minorEastAsia" w:eastAsiaTheme="minorEastAsia" w:cstheme="minorEastAsia"/>
          <w:sz w:val="28"/>
          <w:szCs w:val="28"/>
          <w:highlight w:val="none"/>
        </w:rPr>
        <w:t>项目支出绩效评价指标体系（参考样表）》共性指标体系相关内容，根据项目实施的具体情况对个性指标进行了调整细化，形成了《</w:t>
      </w:r>
      <w:r>
        <w:rPr>
          <w:rFonts w:hint="eastAsia" w:asciiTheme="minorEastAsia" w:hAnsiTheme="minorEastAsia" w:eastAsiaTheme="minorEastAsia" w:cstheme="minorEastAsia"/>
          <w:sz w:val="28"/>
          <w:szCs w:val="28"/>
          <w:highlight w:val="none"/>
          <w:lang w:val="en-US" w:eastAsia="zh-CN"/>
        </w:rPr>
        <w:t>2021年度云溪区自然资源综合性项目绩效评价指标体系</w:t>
      </w:r>
      <w:r>
        <w:rPr>
          <w:rFonts w:hint="eastAsia" w:asciiTheme="minorEastAsia" w:hAnsiTheme="minorEastAsia" w:eastAsiaTheme="minorEastAsia" w:cstheme="minorEastAsia"/>
          <w:sz w:val="28"/>
          <w:szCs w:val="28"/>
          <w:highlight w:val="none"/>
        </w:rPr>
        <w:t>》（附件1）及评价标准《</w:t>
      </w:r>
      <w:r>
        <w:rPr>
          <w:rFonts w:hint="eastAsia" w:asciiTheme="minorEastAsia" w:hAnsiTheme="minorEastAsia" w:eastAsiaTheme="minorEastAsia" w:cstheme="minorEastAsia"/>
          <w:sz w:val="28"/>
          <w:szCs w:val="28"/>
          <w:highlight w:val="none"/>
          <w:lang w:val="en-US" w:eastAsia="zh-CN"/>
        </w:rPr>
        <w:t>2021年度云溪区自然资源综合性项目绩效评分表</w:t>
      </w:r>
      <w:r>
        <w:rPr>
          <w:rFonts w:hint="eastAsia" w:asciiTheme="minorEastAsia" w:hAnsiTheme="minorEastAsia" w:eastAsiaTheme="minorEastAsia" w:cstheme="minorEastAsia"/>
          <w:sz w:val="28"/>
          <w:szCs w:val="28"/>
          <w:highlight w:val="none"/>
        </w:rPr>
        <w:t>》（附件2）。</w:t>
      </w:r>
    </w:p>
    <w:p>
      <w:pPr>
        <w:numPr>
          <w:ilvl w:val="0"/>
          <w:numId w:val="0"/>
        </w:numPr>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3.</w:t>
      </w:r>
      <w:r>
        <w:rPr>
          <w:rFonts w:hint="eastAsia" w:asciiTheme="minorEastAsia" w:hAnsiTheme="minorEastAsia" w:eastAsiaTheme="minorEastAsia" w:cstheme="minorEastAsia"/>
          <w:b/>
          <w:sz w:val="28"/>
          <w:szCs w:val="28"/>
          <w:highlight w:val="none"/>
        </w:rPr>
        <w:t>绩效评价方法和内容</w:t>
      </w:r>
    </w:p>
    <w:p>
      <w:pPr>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sz w:val="28"/>
          <w:szCs w:val="28"/>
          <w:highlight w:val="none"/>
        </w:rPr>
        <w:t>本次绩效评价方法为逻辑分析法、比较法、因素分析法、公众评判法和实地查验等评价方法。评价内容包括项目决策、项目管理、项目绩效三部分内容。主要围绕资金投向、资源配置、项目管理等方面客观分析项目的产出，体现从投入－产出－预期效果对绩效的影响，</w:t>
      </w:r>
      <w:r>
        <w:rPr>
          <w:rFonts w:hint="eastAsia" w:asciiTheme="minorEastAsia" w:hAnsiTheme="minorEastAsia" w:eastAsiaTheme="minorEastAsia" w:cstheme="minorEastAsia"/>
          <w:color w:val="000000"/>
          <w:kern w:val="0"/>
          <w:sz w:val="28"/>
          <w:szCs w:val="28"/>
          <w:highlight w:val="none"/>
        </w:rPr>
        <w:t>通过对项目实施活动中的检查评价，及时发现项目</w:t>
      </w:r>
      <w:r>
        <w:rPr>
          <w:rFonts w:hint="eastAsia" w:asciiTheme="minorEastAsia" w:hAnsiTheme="minorEastAsia" w:eastAsiaTheme="minorEastAsia" w:cstheme="minorEastAsia"/>
          <w:color w:val="000000"/>
          <w:kern w:val="0"/>
          <w:sz w:val="28"/>
          <w:szCs w:val="28"/>
          <w:highlight w:val="none"/>
          <w:lang w:eastAsia="zh-CN"/>
        </w:rPr>
        <w:t>实施</w:t>
      </w:r>
      <w:r>
        <w:rPr>
          <w:rFonts w:hint="eastAsia" w:asciiTheme="minorEastAsia" w:hAnsiTheme="minorEastAsia" w:eastAsiaTheme="minorEastAsia" w:cstheme="minorEastAsia"/>
          <w:color w:val="000000"/>
          <w:kern w:val="0"/>
          <w:sz w:val="28"/>
          <w:szCs w:val="28"/>
          <w:highlight w:val="none"/>
        </w:rPr>
        <w:t>中的问题，分析产生的原因，评价项目的目标是否达到，项目的效益指标是否实现。并有针对性地提出解决问题的对策和措施，以便决策者及时</w:t>
      </w:r>
      <w:r>
        <w:rPr>
          <w:rFonts w:hint="eastAsia" w:asciiTheme="minorEastAsia" w:hAnsiTheme="minorEastAsia" w:eastAsiaTheme="minorEastAsia" w:cstheme="minorEastAsia"/>
          <w:sz w:val="28"/>
          <w:szCs w:val="28"/>
          <w:highlight w:val="none"/>
        </w:rPr>
        <w:t>总结经验，分析问题，</w:t>
      </w:r>
      <w:r>
        <w:rPr>
          <w:rFonts w:hint="eastAsia" w:asciiTheme="minorEastAsia" w:hAnsiTheme="minorEastAsia" w:eastAsiaTheme="minorEastAsia" w:cstheme="minorEastAsia"/>
          <w:bCs/>
          <w:sz w:val="28"/>
          <w:szCs w:val="28"/>
          <w:highlight w:val="none"/>
        </w:rPr>
        <w:t>优化项目资金管理</w:t>
      </w:r>
      <w:r>
        <w:rPr>
          <w:rFonts w:hint="eastAsia" w:asciiTheme="minorEastAsia" w:hAnsiTheme="minorEastAsia" w:eastAsiaTheme="minorEastAsia" w:cstheme="minorEastAsia"/>
          <w:color w:val="000000"/>
          <w:kern w:val="0"/>
          <w:sz w:val="28"/>
          <w:szCs w:val="28"/>
          <w:highlight w:val="none"/>
        </w:rPr>
        <w:t>。</w:t>
      </w:r>
    </w:p>
    <w:p>
      <w:pPr>
        <w:widowControl/>
        <w:spacing w:before="120" w:after="120" w:line="420" w:lineRule="atLeast"/>
        <w:ind w:firstLine="560" w:firstLineChars="200"/>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color w:val="000000"/>
          <w:kern w:val="0"/>
          <w:sz w:val="28"/>
          <w:szCs w:val="28"/>
          <w:highlight w:val="none"/>
          <w:lang w:val="en-US" w:eastAsia="zh-CN"/>
        </w:rPr>
        <w:t xml:space="preserve"> </w:t>
      </w: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kern w:val="0"/>
          <w:sz w:val="28"/>
          <w:szCs w:val="28"/>
        </w:rPr>
        <w:t>绩效评价工作实施过程</w:t>
      </w:r>
    </w:p>
    <w:p>
      <w:pPr>
        <w:ind w:firstLine="703"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1.前期准备</w:t>
      </w:r>
    </w:p>
    <w:p>
      <w:pPr>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按《</w:t>
      </w:r>
      <w:r>
        <w:rPr>
          <w:rFonts w:hint="eastAsia" w:asciiTheme="minorEastAsia" w:hAnsiTheme="minorEastAsia" w:eastAsiaTheme="minorEastAsia" w:cstheme="minorEastAsia"/>
          <w:sz w:val="28"/>
          <w:szCs w:val="28"/>
          <w:highlight w:val="none"/>
          <w:lang w:eastAsia="zh-CN"/>
        </w:rPr>
        <w:t>通知</w:t>
      </w:r>
      <w:r>
        <w:rPr>
          <w:rFonts w:hint="eastAsia" w:asciiTheme="minorEastAsia" w:hAnsiTheme="minorEastAsia" w:eastAsiaTheme="minorEastAsia" w:cstheme="minorEastAsia"/>
          <w:sz w:val="28"/>
          <w:szCs w:val="28"/>
          <w:highlight w:val="none"/>
        </w:rPr>
        <w:t>》及相关工作要求，前期准备工作分为三个阶段。</w:t>
      </w:r>
    </w:p>
    <w:p>
      <w:pPr>
        <w:ind w:firstLine="700" w:firstLineChars="2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第一阶段，成立了绩效评价工作小组，确定了项目评价负责人，配置相应的评价人员，并对评价参与人员进行相关培训</w:t>
      </w:r>
      <w:r>
        <w:rPr>
          <w:rFonts w:hint="eastAsia" w:asciiTheme="minorEastAsia" w:hAnsiTheme="minorEastAsia" w:eastAsiaTheme="minorEastAsia" w:cstheme="minorEastAsia"/>
          <w:sz w:val="28"/>
          <w:szCs w:val="28"/>
          <w:highlight w:val="none"/>
          <w:lang w:val="en-US" w:eastAsia="zh-CN"/>
        </w:rPr>
        <w:t>。</w:t>
      </w:r>
    </w:p>
    <w:p>
      <w:pPr>
        <w:ind w:firstLine="700" w:firstLineChars="2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第二阶段，20</w:t>
      </w:r>
      <w:r>
        <w:rPr>
          <w:rFonts w:hint="eastAsia" w:asciiTheme="minorEastAsia" w:hAnsiTheme="minorEastAsia" w:eastAsiaTheme="minorEastAsia" w:cstheme="minorEastAsia"/>
          <w:sz w:val="28"/>
          <w:szCs w:val="28"/>
          <w:highlight w:val="none"/>
          <w:lang w:val="en-US" w:eastAsia="zh-CN"/>
        </w:rPr>
        <w:t>23</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15</w:t>
      </w:r>
      <w:r>
        <w:rPr>
          <w:rFonts w:hint="eastAsia" w:asciiTheme="minorEastAsia" w:hAnsiTheme="minorEastAsia" w:eastAsiaTheme="minorEastAsia" w:cstheme="minorEastAsia"/>
          <w:sz w:val="28"/>
          <w:szCs w:val="28"/>
          <w:highlight w:val="none"/>
        </w:rPr>
        <w:t>日绩效评价工作小组在</w:t>
      </w:r>
      <w:r>
        <w:rPr>
          <w:rFonts w:hint="eastAsia" w:asciiTheme="minorEastAsia" w:hAnsiTheme="minorEastAsia" w:eastAsiaTheme="minorEastAsia" w:cstheme="minorEastAsia"/>
          <w:sz w:val="28"/>
          <w:szCs w:val="28"/>
          <w:highlight w:val="none"/>
          <w:lang w:val="en-US" w:eastAsia="zh-CN"/>
        </w:rPr>
        <w:t>区</w:t>
      </w:r>
      <w:r>
        <w:rPr>
          <w:rFonts w:hint="eastAsia" w:asciiTheme="minorEastAsia" w:hAnsiTheme="minorEastAsia" w:eastAsiaTheme="minorEastAsia" w:cstheme="minorEastAsia"/>
          <w:sz w:val="28"/>
          <w:szCs w:val="28"/>
          <w:highlight w:val="none"/>
        </w:rPr>
        <w:t>财政局绩效评价股的带领下，听取了</w:t>
      </w:r>
      <w:r>
        <w:rPr>
          <w:rFonts w:hint="eastAsia" w:asciiTheme="minorEastAsia" w:hAnsiTheme="minorEastAsia" w:eastAsiaTheme="minorEastAsia" w:cstheme="minorEastAsia"/>
          <w:sz w:val="28"/>
          <w:szCs w:val="28"/>
          <w:highlight w:val="none"/>
          <w:lang w:val="en-US" w:eastAsia="zh-CN"/>
        </w:rPr>
        <w:t>自然资源局</w:t>
      </w:r>
      <w:r>
        <w:rPr>
          <w:rFonts w:hint="eastAsia" w:asciiTheme="minorEastAsia" w:hAnsiTheme="minorEastAsia" w:eastAsiaTheme="minorEastAsia" w:cstheme="minorEastAsia"/>
          <w:sz w:val="28"/>
          <w:szCs w:val="28"/>
          <w:highlight w:val="none"/>
        </w:rPr>
        <w:t>对项目的情况介绍，初步了解被评价项目的有关基本情况，</w:t>
      </w:r>
      <w:r>
        <w:rPr>
          <w:rFonts w:hint="eastAsia" w:asciiTheme="minorEastAsia" w:hAnsiTheme="minorEastAsia" w:eastAsiaTheme="minorEastAsia" w:cstheme="minorEastAsia"/>
          <w:sz w:val="28"/>
          <w:szCs w:val="28"/>
          <w:highlight w:val="none"/>
          <w:lang w:eastAsia="zh-CN"/>
        </w:rPr>
        <w:t>向</w:t>
      </w:r>
      <w:r>
        <w:rPr>
          <w:rFonts w:hint="eastAsia" w:asciiTheme="minorEastAsia" w:hAnsiTheme="minorEastAsia" w:eastAsiaTheme="minorEastAsia" w:cstheme="minorEastAsia"/>
          <w:sz w:val="28"/>
          <w:szCs w:val="28"/>
          <w:highlight w:val="none"/>
          <w:lang w:val="en-US" w:eastAsia="zh-CN"/>
        </w:rPr>
        <w:t>自然资源局</w:t>
      </w:r>
      <w:r>
        <w:rPr>
          <w:rFonts w:hint="eastAsia" w:asciiTheme="minorEastAsia" w:hAnsiTheme="minorEastAsia" w:eastAsiaTheme="minorEastAsia" w:cstheme="minorEastAsia"/>
          <w:sz w:val="28"/>
          <w:szCs w:val="28"/>
          <w:highlight w:val="none"/>
          <w:lang w:eastAsia="zh-CN"/>
        </w:rPr>
        <w:t>提交了《绩效评价所需资料清单》</w:t>
      </w:r>
      <w:r>
        <w:rPr>
          <w:rFonts w:hint="eastAsia" w:asciiTheme="minorEastAsia" w:hAnsiTheme="minorEastAsia" w:eastAsiaTheme="minorEastAsia" w:cstheme="minorEastAsia"/>
          <w:sz w:val="28"/>
          <w:szCs w:val="28"/>
          <w:highlight w:val="none"/>
        </w:rPr>
        <w:t>。</w:t>
      </w:r>
    </w:p>
    <w:p>
      <w:pPr>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第三阶段，根据</w:t>
      </w:r>
      <w:r>
        <w:rPr>
          <w:rFonts w:hint="eastAsia" w:asciiTheme="minorEastAsia" w:hAnsiTheme="minorEastAsia" w:eastAsiaTheme="minorEastAsia" w:cstheme="minorEastAsia"/>
          <w:sz w:val="28"/>
          <w:szCs w:val="28"/>
          <w:highlight w:val="none"/>
          <w:lang w:val="en-US" w:eastAsia="zh-CN"/>
        </w:rPr>
        <w:t>区财政局</w:t>
      </w:r>
      <w:r>
        <w:rPr>
          <w:rFonts w:hint="eastAsia" w:asciiTheme="minorEastAsia" w:hAnsiTheme="minorEastAsia" w:eastAsiaTheme="minorEastAsia" w:cstheme="minorEastAsia"/>
          <w:sz w:val="28"/>
          <w:szCs w:val="28"/>
          <w:highlight w:val="none"/>
        </w:rPr>
        <w:t>绩效评价股的指导意见，绩效评价工作小组制订了绩效评价方案、评价体系指标、调查问卷</w:t>
      </w:r>
      <w:r>
        <w:rPr>
          <w:rFonts w:hint="eastAsia" w:asciiTheme="minorEastAsia" w:hAnsiTheme="minorEastAsia" w:eastAsiaTheme="minorEastAsia" w:cstheme="minorEastAsia"/>
          <w:sz w:val="28"/>
          <w:szCs w:val="28"/>
          <w:highlight w:val="none"/>
          <w:lang w:eastAsia="zh-CN"/>
        </w:rPr>
        <w:t>表（见附件）</w:t>
      </w:r>
      <w:r>
        <w:rPr>
          <w:rFonts w:hint="eastAsia" w:asciiTheme="minorEastAsia" w:hAnsiTheme="minorEastAsia" w:eastAsiaTheme="minorEastAsia" w:cstheme="minorEastAsia"/>
          <w:sz w:val="28"/>
          <w:szCs w:val="28"/>
          <w:highlight w:val="none"/>
        </w:rPr>
        <w:t>等。</w:t>
      </w:r>
    </w:p>
    <w:p>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kern w:val="0"/>
          <w:sz w:val="28"/>
          <w:szCs w:val="28"/>
          <w:highlight w:val="none"/>
        </w:rPr>
        <w:t xml:space="preserve">    </w:t>
      </w:r>
      <w:r>
        <w:rPr>
          <w:rFonts w:hint="eastAsia" w:asciiTheme="minorEastAsia" w:hAnsiTheme="minorEastAsia" w:eastAsiaTheme="minorEastAsia" w:cstheme="minorEastAsia"/>
          <w:b/>
          <w:sz w:val="28"/>
          <w:szCs w:val="28"/>
          <w:highlight w:val="none"/>
        </w:rPr>
        <w:t xml:space="preserve"> 2.组织实施过程</w:t>
      </w:r>
    </w:p>
    <w:p>
      <w:pPr>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月，绩效</w:t>
      </w:r>
      <w:r>
        <w:rPr>
          <w:rFonts w:hint="eastAsia" w:asciiTheme="minorEastAsia" w:hAnsiTheme="minorEastAsia" w:eastAsiaTheme="minorEastAsia" w:cstheme="minorEastAsia"/>
          <w:sz w:val="28"/>
          <w:szCs w:val="28"/>
        </w:rPr>
        <w:t>评价工作小组调阅项目单位相关资料、核实</w:t>
      </w:r>
      <w:r>
        <w:rPr>
          <w:rFonts w:hint="eastAsia" w:asciiTheme="minorEastAsia" w:hAnsiTheme="minorEastAsia" w:eastAsiaTheme="minorEastAsia" w:cstheme="minorEastAsia"/>
          <w:sz w:val="28"/>
          <w:szCs w:val="28"/>
          <w:lang w:eastAsia="zh-CN"/>
        </w:rPr>
        <w:t>资金拨付情况、</w:t>
      </w:r>
      <w:r>
        <w:rPr>
          <w:rFonts w:hint="eastAsia" w:asciiTheme="minorEastAsia" w:hAnsiTheme="minorEastAsia" w:eastAsiaTheme="minorEastAsia" w:cstheme="minorEastAsia"/>
          <w:sz w:val="28"/>
          <w:szCs w:val="28"/>
        </w:rPr>
        <w:t>询问等方式对项目展开考评。</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（1）资料收集</w:t>
      </w:r>
      <w:r>
        <w:rPr>
          <w:rFonts w:hint="eastAsia" w:asciiTheme="minorEastAsia" w:hAnsiTheme="minorEastAsia" w:eastAsiaTheme="minorEastAsia" w:cstheme="minorEastAsia"/>
          <w:strike w:val="0"/>
          <w:dstrike w:val="0"/>
          <w:color w:val="auto"/>
          <w:sz w:val="28"/>
          <w:szCs w:val="28"/>
          <w:lang w:eastAsia="zh-CN"/>
        </w:rPr>
        <w:t>，确定项目目标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绩效评价工作小组搜集并认真学习研究了项</w:t>
      </w:r>
      <w:r>
        <w:rPr>
          <w:rFonts w:hint="eastAsia" w:asciiTheme="minorEastAsia" w:hAnsiTheme="minorEastAsia" w:eastAsiaTheme="minorEastAsia" w:cstheme="minorEastAsia"/>
          <w:sz w:val="28"/>
          <w:szCs w:val="28"/>
          <w:highlight w:val="none"/>
        </w:rPr>
        <w:t>目相关的政策性文件和业务文件、管理办法等</w:t>
      </w:r>
      <w:r>
        <w:rPr>
          <w:rFonts w:hint="eastAsia" w:asciiTheme="minorEastAsia" w:hAnsiTheme="minorEastAsia" w:eastAsiaTheme="minorEastAsia" w:cstheme="minorEastAsia"/>
          <w:sz w:val="28"/>
          <w:szCs w:val="28"/>
          <w:highlight w:val="none"/>
          <w:lang w:eastAsia="zh-CN"/>
        </w:rPr>
        <w:t>，进行认真研究。</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2）核实账目资金</w:t>
      </w:r>
      <w:r>
        <w:rPr>
          <w:rFonts w:hint="eastAsia" w:asciiTheme="minorEastAsia" w:hAnsiTheme="minorEastAsia" w:eastAsiaTheme="minorEastAsia" w:cstheme="minorEastAsia"/>
          <w:sz w:val="28"/>
          <w:szCs w:val="28"/>
          <w:highlight w:val="none"/>
        </w:rPr>
        <w:t>。</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）调查问卷。</w:t>
      </w:r>
      <w:r>
        <w:rPr>
          <w:rFonts w:hint="eastAsia" w:asciiTheme="minorEastAsia" w:hAnsiTheme="minorEastAsia" w:eastAsiaTheme="minorEastAsia" w:cstheme="minorEastAsia"/>
          <w:color w:val="auto"/>
          <w:sz w:val="28"/>
          <w:szCs w:val="28"/>
          <w:highlight w:val="none"/>
          <w:lang w:eastAsia="zh-CN"/>
        </w:rPr>
        <w:t>调查问卷共</w:t>
      </w:r>
      <w:r>
        <w:rPr>
          <w:rFonts w:hint="eastAsia" w:asciiTheme="minorEastAsia" w:hAnsiTheme="minorEastAsia" w:eastAsiaTheme="minorEastAsia" w:cstheme="minorEastAsia"/>
          <w:color w:val="auto"/>
          <w:sz w:val="28"/>
          <w:szCs w:val="28"/>
          <w:highlight w:val="none"/>
          <w:lang w:val="en-US" w:eastAsia="zh-CN"/>
        </w:rPr>
        <w:t>10题，内容主要涉及到</w:t>
      </w:r>
      <w:r>
        <w:rPr>
          <w:rFonts w:hint="default" w:asciiTheme="minorEastAsia" w:hAnsiTheme="minorEastAsia" w:eastAsiaTheme="minorEastAsia" w:cstheme="minorEastAsia"/>
          <w:color w:val="auto"/>
          <w:sz w:val="28"/>
          <w:szCs w:val="28"/>
          <w:highlight w:val="none"/>
          <w:lang w:val="en-US" w:eastAsia="zh-CN"/>
        </w:rPr>
        <w:t>自然资源和不动产统一登记、权籍调查、不动产测绘用地审批等方面工作是否满意</w:t>
      </w:r>
      <w:r>
        <w:rPr>
          <w:rFonts w:hint="eastAsia" w:asciiTheme="minorEastAsia" w:hAnsiTheme="minorEastAsia" w:eastAsiaTheme="minorEastAsia" w:cstheme="minorEastAsia"/>
          <w:color w:val="auto"/>
          <w:sz w:val="28"/>
          <w:szCs w:val="28"/>
          <w:highlight w:val="none"/>
          <w:lang w:val="en-US" w:eastAsia="zh-CN"/>
        </w:rPr>
        <w:t>等</w:t>
      </w:r>
      <w:r>
        <w:rPr>
          <w:rFonts w:hint="eastAsia" w:asciiTheme="minorEastAsia" w:hAnsiTheme="minorEastAsia" w:eastAsiaTheme="minorEastAsia" w:cstheme="minorEastAsia"/>
          <w:color w:val="auto"/>
          <w:sz w:val="28"/>
          <w:szCs w:val="28"/>
          <w:highlight w:val="none"/>
          <w:lang w:eastAsia="zh-CN"/>
        </w:rPr>
        <w:t>方面内容。</w:t>
      </w:r>
      <w:r>
        <w:rPr>
          <w:rFonts w:hint="eastAsia" w:asciiTheme="minorEastAsia" w:hAnsiTheme="minorEastAsia" w:eastAsiaTheme="minorEastAsia" w:cstheme="minorEastAsia"/>
          <w:color w:val="auto"/>
          <w:sz w:val="28"/>
          <w:szCs w:val="28"/>
          <w:highlight w:val="none"/>
          <w:lang w:val="en-US" w:eastAsia="zh-CN"/>
        </w:rPr>
        <w:t>发放调查问卷共20份，</w:t>
      </w:r>
      <w:r>
        <w:rPr>
          <w:rFonts w:hint="eastAsia" w:asciiTheme="minorEastAsia" w:hAnsiTheme="minorEastAsia" w:eastAsiaTheme="minorEastAsia" w:cstheme="minorEastAsia"/>
          <w:color w:val="auto"/>
          <w:sz w:val="28"/>
          <w:szCs w:val="28"/>
        </w:rPr>
        <w:t>回收有效问卷</w:t>
      </w:r>
      <w:r>
        <w:rPr>
          <w:rFonts w:hint="eastAsia" w:asciiTheme="minorEastAsia" w:hAnsiTheme="minorEastAsia" w:eastAsiaTheme="minorEastAsia" w:cstheme="minorEastAsia"/>
          <w:color w:val="auto"/>
          <w:sz w:val="28"/>
          <w:szCs w:val="28"/>
          <w:lang w:val="en-US" w:eastAsia="zh-CN"/>
        </w:rPr>
        <w:t>20人</w:t>
      </w:r>
      <w:r>
        <w:rPr>
          <w:rFonts w:hint="eastAsia" w:asciiTheme="minorEastAsia" w:hAnsiTheme="minorEastAsia" w:eastAsiaTheme="minorEastAsia" w:cstheme="minorEastAsia"/>
          <w:color w:val="auto"/>
          <w:sz w:val="28"/>
          <w:szCs w:val="28"/>
        </w:rPr>
        <w:t>/次，回收率100%</w:t>
      </w:r>
      <w:r>
        <w:rPr>
          <w:rFonts w:hint="eastAsia" w:asciiTheme="minorEastAsia" w:hAnsiTheme="minorEastAsia" w:eastAsiaTheme="minorEastAsia" w:cstheme="minorEastAsia"/>
          <w:color w:val="auto"/>
          <w:sz w:val="28"/>
          <w:szCs w:val="28"/>
          <w:highlight w:val="none"/>
          <w:lang w:val="en-US" w:eastAsia="zh-CN"/>
        </w:rPr>
        <w:t>。</w:t>
      </w:r>
    </w:p>
    <w:p>
      <w:pPr>
        <w:tabs>
          <w:tab w:val="left" w:pos="0"/>
        </w:tabs>
        <w:spacing w:line="6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3.分析评价</w:t>
      </w:r>
    </w:p>
    <w:p>
      <w:pPr>
        <w:pStyle w:val="35"/>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根据现场考评情况，对收集的资料进行整理、汇总分析，根据设定的绩效评价指标体系制订了评价指标底稿，每个底稿均有扣分、得分依据、附件内容、评价人员意见等，根据底稿汇总，制订了绩效评价评分汇总表，最终形成《</w:t>
      </w:r>
      <w:r>
        <w:rPr>
          <w:rFonts w:hint="eastAsia" w:asciiTheme="minorEastAsia" w:hAnsiTheme="minorEastAsia" w:eastAsiaTheme="minorEastAsia" w:cstheme="minorEastAsia"/>
          <w:sz w:val="28"/>
          <w:szCs w:val="28"/>
          <w:highlight w:val="none"/>
          <w:lang w:val="en-US" w:eastAsia="zh-CN"/>
        </w:rPr>
        <w:t>2021年度云溪区自然资源综合性项目绩效评价报告书</w:t>
      </w:r>
      <w:r>
        <w:rPr>
          <w:rFonts w:hint="eastAsia" w:asciiTheme="minorEastAsia" w:hAnsiTheme="minorEastAsia" w:eastAsiaTheme="minorEastAsia" w:cstheme="minorEastAsia"/>
          <w:sz w:val="28"/>
          <w:szCs w:val="28"/>
          <w:highlight w:val="none"/>
        </w:rPr>
        <w:t>》。</w:t>
      </w:r>
    </w:p>
    <w:p>
      <w:pPr>
        <w:numPr>
          <w:ilvl w:val="0"/>
          <w:numId w:val="0"/>
        </w:numPr>
        <w:spacing w:line="600" w:lineRule="exact"/>
        <w:ind w:firstLine="281"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（四）绩效目标的实现程度</w:t>
      </w:r>
    </w:p>
    <w:p>
      <w:pPr>
        <w:numPr>
          <w:ilvl w:val="0"/>
          <w:numId w:val="0"/>
        </w:numPr>
        <w:ind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1、</w:t>
      </w:r>
      <w:r>
        <w:rPr>
          <w:rFonts w:hint="eastAsia" w:asciiTheme="minorEastAsia" w:hAnsiTheme="minorEastAsia" w:eastAsiaTheme="minorEastAsia" w:cstheme="minorEastAsia"/>
          <w:b/>
          <w:bCs/>
          <w:kern w:val="0"/>
          <w:sz w:val="28"/>
          <w:szCs w:val="28"/>
        </w:rPr>
        <w:t>项目产出完成情况及分析</w:t>
      </w:r>
    </w:p>
    <w:p>
      <w:pPr>
        <w:numPr>
          <w:ilvl w:val="0"/>
          <w:numId w:val="0"/>
        </w:num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（1）1：500地形图更新与汇交项目：2021年完成15个控制点，1：500地形图测绘31平方公里。委托湖南省地质测绘院和湖南省勘察测绘院岳阳分院完成该项目，支付资金186.25万元，</w:t>
      </w:r>
      <w:r>
        <w:rPr>
          <w:rFonts w:hint="eastAsia" w:ascii="宋体" w:hAnsi="宋体" w:cs="宋体"/>
          <w:kern w:val="44"/>
          <w:sz w:val="28"/>
          <w:szCs w:val="28"/>
          <w:lang w:val="en-US" w:eastAsia="zh-CN" w:bidi="ar-SA"/>
        </w:rPr>
        <w:t>湖南省自然资源厅要求7月1日之前完成项目，2022年1月才进行最后验收移交工作，初始目标</w:t>
      </w:r>
      <w:r>
        <w:rPr>
          <w:rFonts w:hint="eastAsia" w:asciiTheme="minorEastAsia" w:hAnsiTheme="minorEastAsia" w:eastAsiaTheme="minorEastAsia" w:cstheme="minorEastAsia"/>
          <w:kern w:val="0"/>
          <w:sz w:val="28"/>
          <w:szCs w:val="28"/>
          <w:lang w:val="en-US" w:eastAsia="zh-CN" w:bidi="ar-SA"/>
        </w:rPr>
        <w:t>50.16平方公里，计划形成控制点45个，最后完成31平方公里，15个控制点，未达成目标任务，</w:t>
      </w:r>
      <w:r>
        <w:rPr>
          <w:rFonts w:hint="eastAsia" w:ascii="宋体" w:hAnsi="宋体" w:cs="宋体"/>
          <w:kern w:val="44"/>
          <w:sz w:val="28"/>
          <w:szCs w:val="28"/>
          <w:lang w:val="en-US" w:eastAsia="zh-CN" w:bidi="ar-SA"/>
        </w:rPr>
        <w:t>湖南省第三测绘院</w:t>
      </w:r>
      <w:r>
        <w:rPr>
          <w:rFonts w:hint="eastAsia" w:asciiTheme="minorEastAsia" w:hAnsiTheme="minorEastAsia" w:eastAsiaTheme="minorEastAsia" w:cstheme="minorEastAsia"/>
          <w:kern w:val="0"/>
          <w:sz w:val="28"/>
          <w:szCs w:val="28"/>
          <w:lang w:val="en-US" w:eastAsia="zh-CN" w:bidi="ar-SA"/>
        </w:rPr>
        <w:t>验收单上有</w:t>
      </w:r>
      <w:r>
        <w:rPr>
          <w:rFonts w:hint="eastAsia" w:ascii="宋体" w:hAnsi="宋体" w:cs="宋体"/>
          <w:kern w:val="44"/>
          <w:sz w:val="28"/>
          <w:szCs w:val="28"/>
          <w:lang w:val="en-US" w:eastAsia="zh-CN" w:bidi="ar-SA"/>
        </w:rPr>
        <w:t>未按照省要求范围内测绘，目标完成情况不佳。</w:t>
      </w:r>
    </w:p>
    <w:p>
      <w:pPr>
        <w:numPr>
          <w:ilvl w:val="0"/>
          <w:numId w:val="0"/>
        </w:num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2）村庄规划编制项目：2021年已完成坪田村、桃李村、八一村、望城村、臣山村、香铺村、钢铁村、白泥湖村、牌楼村、黄皋村10个村庄规划编制，项目委托岳阳市云港规划勘测设计有限公司完成，支付编制服务费107万元，项目支出进度为100%。</w:t>
      </w:r>
    </w:p>
    <w:p>
      <w:pPr>
        <w:ind w:firstLine="560" w:firstLineChars="200"/>
        <w:jc w:val="left"/>
        <w:rPr>
          <w:rFonts w:hint="eastAsia" w:asciiTheme="minorEastAsia" w:hAnsiTheme="minorEastAsia" w:eastAsiaTheme="minorEastAsia" w:cstheme="minorEastAsia"/>
          <w:i w:val="0"/>
          <w:color w:val="auto"/>
          <w:kern w:val="0"/>
          <w:sz w:val="28"/>
          <w:szCs w:val="28"/>
          <w:highlight w:val="red"/>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（3）基准地价制定方案项目：更新云溪区基准地价制定数据库上交省厅、并形成正式文本，项目签订合同金额为136.3万元，已支付金额136.3万元</w:t>
      </w:r>
      <w:r>
        <w:rPr>
          <w:rFonts w:hint="eastAsia" w:asciiTheme="minorEastAsia" w:hAnsiTheme="minorEastAsia" w:eastAsiaTheme="minorEastAsia" w:cstheme="minorEastAsia"/>
          <w:i w:val="0"/>
          <w:color w:val="auto"/>
          <w:kern w:val="0"/>
          <w:sz w:val="28"/>
          <w:szCs w:val="28"/>
          <w:highlight w:val="none"/>
          <w:lang w:val="en-US" w:eastAsia="zh-CN" w:bidi="ar"/>
        </w:rPr>
        <w:t>。</w:t>
      </w:r>
    </w:p>
    <w:p>
      <w:pPr>
        <w:ind w:firstLine="560" w:firstLineChars="200"/>
        <w:jc w:val="left"/>
        <w:rPr>
          <w:rFonts w:hint="default" w:asciiTheme="minorEastAsia" w:hAnsiTheme="minorEastAsia" w:eastAsiaTheme="minorEastAsia" w:cstheme="minorEastAsia"/>
          <w:i w:val="0"/>
          <w:color w:val="auto"/>
          <w:kern w:val="0"/>
          <w:sz w:val="28"/>
          <w:szCs w:val="28"/>
          <w:highlight w:val="red"/>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（4）空间生态修复规划编制项目：完成云溪区“十四五”空间规划编制工作，该项目实际支出20万元。</w:t>
      </w:r>
    </w:p>
    <w:p>
      <w:pPr>
        <w:numPr>
          <w:ilvl w:val="0"/>
          <w:numId w:val="0"/>
        </w:numPr>
        <w:ind w:firstLine="560" w:firstLineChars="200"/>
        <w:jc w:val="left"/>
        <w:rPr>
          <w:rFonts w:hint="default"/>
          <w:lang w:val="en-US" w:eastAsia="zh-CN"/>
        </w:rPr>
      </w:pPr>
      <w:r>
        <w:rPr>
          <w:rFonts w:hint="eastAsia" w:asciiTheme="minorEastAsia" w:hAnsiTheme="minorEastAsia" w:eastAsiaTheme="minorEastAsia" w:cstheme="minorEastAsia"/>
          <w:i w:val="0"/>
          <w:color w:val="auto"/>
          <w:kern w:val="0"/>
          <w:sz w:val="28"/>
          <w:szCs w:val="28"/>
          <w:lang w:val="en-US" w:eastAsia="zh-CN" w:bidi="ar"/>
        </w:rPr>
        <w:t>（5）房地一体补充调查项目：截止至2022年12月，房地一体补充调查项目完成了前期的房屋测量和户籍资料收集，权籍补充调查2个村共计2073宗，其中镇龙台1182宗，槠木桥891宗；完成成果公示签字共957宗，其中镇龙台1182宗共完成了957宗公式签字，剩余225宗未签完，槠木桥891未完成签字。已支付房地一体确权登记工作补充调查工作总费用36万元。其中支付湖南省勘察设计院有限公司补充调查工作费用33.3万元、支付湖南省地质测绘院有限公司监理费用2.7万元，与初始目标4000宗、</w:t>
      </w:r>
      <w:r>
        <w:rPr>
          <w:rFonts w:hint="eastAsia" w:ascii="宋体" w:hAnsi="宋体" w:cs="宋体"/>
          <w:kern w:val="44"/>
          <w:sz w:val="28"/>
          <w:szCs w:val="28"/>
          <w:lang w:val="en-US" w:eastAsia="zh-CN" w:bidi="ar-SA"/>
        </w:rPr>
        <w:t>公示、数据库建立、不动产落宗、建立数据库、不动产落宗、联审、登簿缮证、协助发证、数据库汇交等工作完成率差距较大，目标完成较差。</w:t>
      </w:r>
    </w:p>
    <w:p>
      <w:p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（6）设施农用地上图入库项目：2021年云溪区设施农业用地上图入库任务为74.9192公顷，涉及云溪区三个街道、两个乡镇，该项工作已于2021年9</w:t>
      </w:r>
      <w:r>
        <w:rPr>
          <w:rFonts w:hint="eastAsia" w:asciiTheme="minorEastAsia" w:hAnsiTheme="minorEastAsia" w:eastAsiaTheme="minorEastAsia" w:cstheme="minorEastAsia"/>
          <w:i w:val="0"/>
          <w:color w:val="auto"/>
          <w:kern w:val="0"/>
          <w:sz w:val="28"/>
          <w:szCs w:val="28"/>
          <w:highlight w:val="none"/>
          <w:lang w:val="en-US" w:eastAsia="zh-CN" w:bidi="ar"/>
        </w:rPr>
        <w:t>月份完</w:t>
      </w:r>
      <w:r>
        <w:rPr>
          <w:rFonts w:hint="eastAsia" w:asciiTheme="minorEastAsia" w:hAnsiTheme="minorEastAsia" w:eastAsiaTheme="minorEastAsia" w:cstheme="minorEastAsia"/>
          <w:i w:val="0"/>
          <w:color w:val="auto"/>
          <w:kern w:val="0"/>
          <w:sz w:val="28"/>
          <w:szCs w:val="28"/>
          <w:lang w:val="en-US" w:eastAsia="zh-CN" w:bidi="ar"/>
        </w:rPr>
        <w:t>成，支付资金56.48万元。</w:t>
      </w:r>
    </w:p>
    <w:p>
      <w:p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7）城乡规划成果自查自检项目：为修改完善的控规成果和与城市总体规划强制性内容不符地块的汇总情况，涉及云溪区城乡规划调整的项目为11个，支付资金48万元，湖南省自然资源厅要求上报时间为6月底之前，该项工作于2021年9月份完成并上报，超时完成。</w:t>
      </w:r>
    </w:p>
    <w:p>
      <w:pPr>
        <w:ind w:firstLine="562" w:firstLineChars="200"/>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2、</w:t>
      </w:r>
      <w:r>
        <w:rPr>
          <w:rFonts w:hint="eastAsia" w:asciiTheme="minorEastAsia" w:hAnsiTheme="minorEastAsia" w:eastAsiaTheme="minorEastAsia" w:cstheme="minorEastAsia"/>
          <w:b/>
          <w:kern w:val="0"/>
          <w:sz w:val="28"/>
          <w:szCs w:val="28"/>
        </w:rPr>
        <w:t>产出质量情况分析</w:t>
      </w:r>
    </w:p>
    <w:p>
      <w:p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（1）项目运行质量：一般。</w:t>
      </w:r>
    </w:p>
    <w:p>
      <w:pPr>
        <w:ind w:firstLine="560" w:firstLineChars="200"/>
        <w:jc w:val="left"/>
        <w:rPr>
          <w:rFonts w:hint="eastAsia"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（2）服务质量：通过问卷调查</w:t>
      </w:r>
      <w:r>
        <w:rPr>
          <w:rFonts w:hint="eastAsia" w:asciiTheme="minorEastAsia" w:hAnsiTheme="minorEastAsia" w:eastAsiaTheme="minorEastAsia" w:cstheme="minorEastAsia"/>
          <w:i w:val="0"/>
          <w:color w:val="auto"/>
          <w:kern w:val="0"/>
          <w:sz w:val="28"/>
          <w:szCs w:val="28"/>
          <w:highlight w:val="none"/>
          <w:lang w:val="en-US" w:eastAsia="zh-CN" w:bidi="ar"/>
        </w:rPr>
        <w:t>，自然资源局为项目提供的服务质量、服务态度、办事效率情况满意度高。</w:t>
      </w:r>
    </w:p>
    <w:p>
      <w:p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（3</w:t>
      </w:r>
      <w:r>
        <w:rPr>
          <w:rFonts w:hint="eastAsia" w:asciiTheme="minorEastAsia" w:hAnsiTheme="minorEastAsia" w:eastAsiaTheme="minorEastAsia" w:cstheme="minorEastAsia"/>
          <w:i w:val="0"/>
          <w:color w:val="auto"/>
          <w:kern w:val="0"/>
          <w:sz w:val="28"/>
          <w:szCs w:val="28"/>
          <w:highlight w:val="none"/>
          <w:lang w:val="en-US" w:eastAsia="zh-CN" w:bidi="ar"/>
        </w:rPr>
        <w:t>）通过问卷调查、查询相关通报及公开网络，未发现有举报自然资源局工作人员在项目运行中发生违规违纪等廉政方面问题。</w:t>
      </w:r>
    </w:p>
    <w:p>
      <w:pPr>
        <w:ind w:firstLine="562" w:firstLineChars="200"/>
        <w:jc w:val="left"/>
        <w:rPr>
          <w:rFonts w:hint="default"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b/>
          <w:bCs/>
          <w:i w:val="0"/>
          <w:color w:val="333333"/>
          <w:kern w:val="0"/>
          <w:sz w:val="28"/>
          <w:szCs w:val="28"/>
          <w:lang w:val="en-US" w:eastAsia="zh-CN" w:bidi="ar"/>
        </w:rPr>
        <w:t>3、</w:t>
      </w:r>
      <w:r>
        <w:rPr>
          <w:rFonts w:hint="eastAsia" w:asciiTheme="minorEastAsia" w:hAnsiTheme="minorEastAsia" w:eastAsiaTheme="minorEastAsia" w:cstheme="minorEastAsia"/>
          <w:b/>
          <w:bCs/>
          <w:i w:val="0"/>
          <w:color w:val="auto"/>
          <w:kern w:val="0"/>
          <w:sz w:val="28"/>
          <w:szCs w:val="28"/>
          <w:lang w:val="en-US" w:eastAsia="zh-CN" w:bidi="ar"/>
        </w:rPr>
        <w:t>产出时效</w:t>
      </w:r>
      <w:r>
        <w:rPr>
          <w:rFonts w:hint="eastAsia" w:asciiTheme="minorEastAsia" w:hAnsiTheme="minorEastAsia" w:eastAsiaTheme="minorEastAsia" w:cstheme="minorEastAsia"/>
          <w:b/>
          <w:bCs/>
          <w:i w:val="0"/>
          <w:color w:val="333333"/>
          <w:kern w:val="0"/>
          <w:sz w:val="28"/>
          <w:szCs w:val="28"/>
          <w:lang w:val="en-US" w:eastAsia="zh-CN" w:bidi="ar"/>
        </w:rPr>
        <w:t>：</w:t>
      </w:r>
      <w:r>
        <w:rPr>
          <w:rFonts w:hint="eastAsia" w:asciiTheme="minorEastAsia" w:hAnsiTheme="minorEastAsia" w:eastAsiaTheme="minorEastAsia" w:cstheme="minorEastAsia"/>
          <w:i w:val="0"/>
          <w:color w:val="auto"/>
          <w:kern w:val="0"/>
          <w:sz w:val="28"/>
          <w:szCs w:val="28"/>
          <w:highlight w:val="none"/>
          <w:lang w:val="en-US" w:eastAsia="zh-CN" w:bidi="ar"/>
        </w:rPr>
        <w:t>绩效项目部分未按计划时间实施完成，时效产出一般。</w:t>
      </w:r>
    </w:p>
    <w:p>
      <w:pPr>
        <w:ind w:firstLine="562" w:firstLineChars="200"/>
        <w:jc w:val="left"/>
        <w:rPr>
          <w:rFonts w:hint="default"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b/>
          <w:bCs/>
          <w:i w:val="0"/>
          <w:color w:val="auto"/>
          <w:kern w:val="0"/>
          <w:sz w:val="28"/>
          <w:szCs w:val="28"/>
          <w:lang w:val="en-US" w:eastAsia="zh-CN" w:bidi="ar"/>
        </w:rPr>
        <w:t>4、成本控制</w:t>
      </w:r>
      <w:r>
        <w:rPr>
          <w:rFonts w:hint="eastAsia" w:asciiTheme="minorEastAsia" w:hAnsiTheme="minorEastAsia" w:eastAsiaTheme="minorEastAsia" w:cstheme="minorEastAsia"/>
          <w:i w:val="0"/>
          <w:color w:val="auto"/>
          <w:kern w:val="0"/>
          <w:sz w:val="28"/>
          <w:szCs w:val="28"/>
          <w:lang w:val="en-US" w:eastAsia="zh-CN" w:bidi="ar"/>
        </w:rPr>
        <w:t>：</w:t>
      </w:r>
      <w:r>
        <w:rPr>
          <w:rFonts w:hint="eastAsia" w:asciiTheme="minorEastAsia" w:hAnsiTheme="minorEastAsia" w:eastAsiaTheme="minorEastAsia" w:cstheme="minorEastAsia"/>
          <w:i w:val="0"/>
          <w:color w:val="auto"/>
          <w:kern w:val="0"/>
          <w:sz w:val="28"/>
          <w:szCs w:val="28"/>
          <w:highlight w:val="none"/>
          <w:lang w:val="en-US" w:eastAsia="zh-CN" w:bidi="ar"/>
        </w:rPr>
        <w:t>本项目预算成本为520万元，实际使用590.03万元，自然资源局在申报年初预算时按专项申报资金，项目合同总金额676.53万元，剩余未支付项目资金86.5万元，超出预算成本比例30.1%。</w:t>
      </w:r>
    </w:p>
    <w:p>
      <w:pPr>
        <w:numPr>
          <w:ilvl w:val="0"/>
          <w:numId w:val="0"/>
        </w:numPr>
        <w:ind w:firstLine="562"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sz w:val="28"/>
          <w:szCs w:val="28"/>
          <w:lang w:val="en-US" w:eastAsia="zh-CN"/>
        </w:rPr>
        <w:t>5、</w:t>
      </w:r>
      <w:r>
        <w:rPr>
          <w:rFonts w:hint="eastAsia" w:asciiTheme="minorEastAsia" w:hAnsiTheme="minorEastAsia" w:eastAsiaTheme="minorEastAsia" w:cstheme="minorEastAsia"/>
          <w:b/>
          <w:bCs/>
          <w:sz w:val="28"/>
          <w:szCs w:val="28"/>
        </w:rPr>
        <w:t>项目公开、公正性。</w:t>
      </w:r>
      <w:r>
        <w:rPr>
          <w:rFonts w:hint="eastAsia" w:asciiTheme="minorEastAsia" w:hAnsiTheme="minorEastAsia" w:eastAsiaTheme="minorEastAsia" w:cstheme="minorEastAsia"/>
          <w:color w:val="000000"/>
          <w:sz w:val="28"/>
          <w:szCs w:val="28"/>
        </w:rPr>
        <w:t>规范审批程序，公示审批流程，确保了项目</w:t>
      </w:r>
      <w:r>
        <w:rPr>
          <w:rFonts w:hint="eastAsia" w:asciiTheme="minorEastAsia" w:hAnsiTheme="minorEastAsia" w:eastAsiaTheme="minorEastAsia" w:cstheme="minorEastAsia"/>
          <w:color w:val="000000"/>
          <w:sz w:val="28"/>
          <w:szCs w:val="28"/>
          <w:lang w:val="en-US" w:eastAsia="zh-CN"/>
        </w:rPr>
        <w:t>资金发放</w:t>
      </w:r>
      <w:r>
        <w:rPr>
          <w:rFonts w:hint="eastAsia" w:asciiTheme="minorEastAsia" w:hAnsiTheme="minorEastAsia" w:eastAsiaTheme="minorEastAsia" w:cstheme="minorEastAsia"/>
          <w:color w:val="000000"/>
          <w:sz w:val="28"/>
          <w:szCs w:val="28"/>
        </w:rPr>
        <w:t>的快速、高效、公开、透明。</w:t>
      </w:r>
    </w:p>
    <w:p>
      <w:pPr>
        <w:numPr>
          <w:ilvl w:val="0"/>
          <w:numId w:val="0"/>
        </w:numPr>
        <w:ind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6、</w:t>
      </w:r>
      <w:r>
        <w:rPr>
          <w:rFonts w:hint="eastAsia" w:asciiTheme="minorEastAsia" w:hAnsiTheme="minorEastAsia" w:eastAsiaTheme="minorEastAsia" w:cstheme="minorEastAsia"/>
          <w:b/>
          <w:bCs/>
          <w:kern w:val="0"/>
          <w:sz w:val="28"/>
          <w:szCs w:val="28"/>
        </w:rPr>
        <w:t>项目完成后效果</w:t>
      </w:r>
    </w:p>
    <w:p>
      <w:pPr>
        <w:numPr>
          <w:ilvl w:val="0"/>
          <w:numId w:val="0"/>
        </w:numPr>
        <w:ind w:firstLine="560" w:firstLineChars="200"/>
        <w:jc w:val="left"/>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项目实施后，加强了国土空间规划的管控能力，提高了用地审批的效率，保障了项目用地，</w:t>
      </w:r>
      <w:r>
        <w:rPr>
          <w:rFonts w:hint="eastAsia" w:asciiTheme="minorEastAsia" w:hAnsiTheme="minorEastAsia" w:eastAsiaTheme="minorEastAsia" w:cstheme="minorEastAsia"/>
          <w:color w:val="000000"/>
          <w:sz w:val="28"/>
          <w:szCs w:val="28"/>
        </w:rPr>
        <w:t>明确</w:t>
      </w:r>
      <w:r>
        <w:rPr>
          <w:rFonts w:hint="eastAsia" w:asciiTheme="minorEastAsia" w:hAnsiTheme="minorEastAsia" w:eastAsiaTheme="minorEastAsia" w:cstheme="minorEastAsia"/>
          <w:color w:val="000000"/>
          <w:sz w:val="28"/>
          <w:szCs w:val="28"/>
          <w:lang w:val="en-US" w:eastAsia="zh-CN"/>
        </w:rPr>
        <w:t>云溪区</w:t>
      </w:r>
      <w:r>
        <w:rPr>
          <w:rFonts w:hint="eastAsia" w:asciiTheme="minorEastAsia" w:hAnsiTheme="minorEastAsia" w:eastAsiaTheme="minorEastAsia" w:cstheme="minorEastAsia"/>
          <w:color w:val="000000"/>
          <w:sz w:val="28"/>
          <w:szCs w:val="28"/>
        </w:rPr>
        <w:t>用地规模，城镇开发边界线的划定充分发掘城市国土空间发展潜力，合理布局城市空间</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避免城镇开发的盲目扩张，资源浪费，产生了</w:t>
      </w:r>
      <w:r>
        <w:rPr>
          <w:rFonts w:hint="eastAsia" w:asciiTheme="minorEastAsia" w:hAnsiTheme="minorEastAsia" w:eastAsiaTheme="minorEastAsia" w:cstheme="minorEastAsia"/>
          <w:color w:val="000000"/>
          <w:sz w:val="28"/>
          <w:szCs w:val="28"/>
          <w:lang w:val="en-US" w:eastAsia="zh-CN"/>
        </w:rPr>
        <w:t>较好的</w:t>
      </w:r>
      <w:r>
        <w:rPr>
          <w:rFonts w:hint="eastAsia" w:asciiTheme="minorEastAsia" w:hAnsiTheme="minorEastAsia" w:eastAsiaTheme="minorEastAsia" w:cstheme="minorEastAsia"/>
          <w:color w:val="000000"/>
          <w:sz w:val="28"/>
          <w:szCs w:val="28"/>
        </w:rPr>
        <w:t>经济效益。为城镇开发决策提供依据，能实现城镇发展社会效益最大化</w:t>
      </w:r>
      <w:r>
        <w:rPr>
          <w:rFonts w:hint="eastAsia" w:asciiTheme="minorEastAsia" w:hAnsiTheme="minorEastAsia" w:eastAsiaTheme="minorEastAsia" w:cstheme="minorEastAsia"/>
          <w:color w:val="000000"/>
          <w:sz w:val="28"/>
          <w:szCs w:val="28"/>
          <w:lang w:eastAsia="zh-CN"/>
        </w:rPr>
        <w:t>。</w:t>
      </w:r>
    </w:p>
    <w:p>
      <w:pPr>
        <w:numPr>
          <w:ilvl w:val="0"/>
          <w:numId w:val="0"/>
        </w:numPr>
        <w:ind w:firstLine="562" w:firstLineChars="200"/>
        <w:jc w:val="left"/>
        <w:rPr>
          <w:rFonts w:hint="eastAsia" w:asciiTheme="minorEastAsia" w:hAnsiTheme="minorEastAsia" w:eastAsiaTheme="minorEastAsia" w:cstheme="minorEastAsia"/>
          <w:b/>
          <w:color w:val="0000FF"/>
          <w:sz w:val="28"/>
          <w:szCs w:val="28"/>
        </w:rPr>
      </w:pPr>
      <w:r>
        <w:rPr>
          <w:rFonts w:hint="eastAsia" w:asciiTheme="minorEastAsia" w:hAnsiTheme="minorEastAsia" w:eastAsiaTheme="minorEastAsia" w:cstheme="minorEastAsia"/>
          <w:b/>
          <w:color w:val="auto"/>
          <w:sz w:val="28"/>
          <w:szCs w:val="28"/>
          <w:lang w:eastAsia="zh-CN"/>
        </w:rPr>
        <w:t>（五）</w:t>
      </w:r>
      <w:r>
        <w:rPr>
          <w:rFonts w:hint="eastAsia" w:asciiTheme="minorEastAsia" w:hAnsiTheme="minorEastAsia" w:eastAsiaTheme="minorEastAsia" w:cstheme="minorEastAsia"/>
          <w:b/>
          <w:color w:val="auto"/>
          <w:sz w:val="28"/>
          <w:szCs w:val="28"/>
        </w:rPr>
        <w:t>项目绩效评价结论</w:t>
      </w:r>
    </w:p>
    <w:p>
      <w:pPr>
        <w:bidi w:val="0"/>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2021年度云溪区自然资源综合性项目部分完成达标，但存在目标任务完成不达标、实际支出超预算等现象。通过对项目进行绩效评价，得分80分，项目完成任务“良好”。其中：</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目标决策总分20分，该项目得分14分，扣6分。</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项目管理总分25分，该项目得分17.5分，扣7.5分。</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项目绩效总分55分，该项目得分48.5分，扣6.5分。</w:t>
      </w:r>
    </w:p>
    <w:p>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具体见《2021年度云溪区自然资源综合性项目绩效评分表》（附件2）。</w:t>
      </w:r>
    </w:p>
    <w:p>
      <w:pPr>
        <w:ind w:firstLine="562" w:firstLineChars="20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三、存在问题及原因分析</w:t>
      </w:r>
    </w:p>
    <w:p>
      <w:pPr>
        <w:ind w:firstLine="562" w:firstLineChars="20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（一）项目决策方面</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default"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1、项目实施与资金安排不同步</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云溪区自然资源综合性项目实际实施在2021年度，但</w:t>
      </w:r>
      <w:r>
        <w:rPr>
          <w:rFonts w:hint="eastAsia" w:asciiTheme="minorEastAsia" w:hAnsiTheme="minorEastAsia" w:eastAsiaTheme="minorEastAsia" w:cstheme="minorEastAsia"/>
          <w:color w:val="auto"/>
          <w:kern w:val="2"/>
          <w:sz w:val="28"/>
          <w:szCs w:val="28"/>
          <w:highlight w:val="none"/>
          <w:lang w:val="en-US" w:eastAsia="zh-CN" w:bidi="ar-SA"/>
        </w:rPr>
        <w:t>项目资金列入2022年预算，导致项目实施与项目预算资金不同步。</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评价小组认为：2021年项目应列入2021年资金预算，如项目资金超过预算应按相关程序申报追加预算。</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Theme="minorEastAsia" w:hAnsiTheme="minorEastAsia" w:eastAsiaTheme="minorEastAsia" w:cstheme="minorEastAsia"/>
          <w:b/>
          <w:bCs/>
          <w:kern w:val="2"/>
          <w:sz w:val="28"/>
          <w:szCs w:val="28"/>
          <w:highlight w:val="none"/>
          <w:lang w:val="en-US" w:eastAsia="zh-CN" w:bidi="ar-SA"/>
        </w:rPr>
      </w:pPr>
      <w:r>
        <w:rPr>
          <w:rFonts w:hint="eastAsia" w:asciiTheme="minorEastAsia" w:hAnsiTheme="minorEastAsia" w:eastAsiaTheme="minorEastAsia" w:cstheme="minorEastAsia"/>
          <w:b/>
          <w:bCs/>
          <w:kern w:val="2"/>
          <w:sz w:val="28"/>
          <w:szCs w:val="28"/>
          <w:highlight w:val="none"/>
          <w:lang w:val="en-US" w:eastAsia="zh-CN" w:bidi="ar-SA"/>
        </w:rPr>
        <w:t>2、绩效申报表目标笼统，无资金分配方案</w:t>
      </w:r>
    </w:p>
    <w:p>
      <w:pPr>
        <w:pStyle w:val="35"/>
        <w:ind w:firstLine="560" w:firstLineChars="200"/>
        <w:rPr>
          <w:rFonts w:hint="eastAsia" w:ascii="宋体" w:hAnsi="宋体" w:cs="宋体"/>
          <w:sz w:val="28"/>
          <w:szCs w:val="28"/>
        </w:rPr>
      </w:pPr>
      <w:r>
        <w:rPr>
          <w:rFonts w:hint="eastAsia" w:ascii="宋体" w:hAnsi="宋体" w:cs="宋体"/>
          <w:sz w:val="28"/>
          <w:szCs w:val="28"/>
        </w:rPr>
        <w:t>绩效目标不完整，一是项目支出具体目标不明确，仅以“</w:t>
      </w:r>
      <w:r>
        <w:rPr>
          <w:rFonts w:hint="eastAsia" w:asciiTheme="minorEastAsia" w:hAnsiTheme="minorEastAsia" w:eastAsiaTheme="minorEastAsia" w:cstheme="minorEastAsia"/>
          <w:kern w:val="0"/>
          <w:sz w:val="28"/>
          <w:szCs w:val="28"/>
          <w:lang w:val="en-US" w:eastAsia="zh-CN" w:bidi="ar-SA"/>
        </w:rPr>
        <w:t>对云溪区范围内的水流、森林、山岭、草原、荒地、滩涂以及探明储量的矿产资源等自然资源的所有权和所有自然生态空间统一进行确权登记</w:t>
      </w:r>
      <w:r>
        <w:rPr>
          <w:rFonts w:hint="eastAsia" w:ascii="宋体" w:hAnsi="宋体" w:cs="宋体"/>
          <w:sz w:val="28"/>
          <w:szCs w:val="28"/>
        </w:rPr>
        <w:t>。”一句话带过，量化</w:t>
      </w:r>
      <w:r>
        <w:rPr>
          <w:rFonts w:hint="eastAsia" w:ascii="宋体" w:hAnsi="宋体" w:cs="宋体"/>
          <w:sz w:val="28"/>
          <w:szCs w:val="28"/>
          <w:lang w:val="en-US" w:eastAsia="zh-CN"/>
        </w:rPr>
        <w:t>申报</w:t>
      </w:r>
      <w:r>
        <w:rPr>
          <w:rFonts w:hint="eastAsia" w:ascii="宋体" w:hAnsi="宋体" w:cs="宋体"/>
          <w:sz w:val="28"/>
          <w:szCs w:val="28"/>
        </w:rPr>
        <w:t>指标不准确，比如质量指标、成本指标、经济效益、社会效益、生态效益指标均无量化指标，简单的以“</w:t>
      </w:r>
      <w:r>
        <w:rPr>
          <w:rFonts w:hint="eastAsia" w:ascii="宋体" w:hAnsi="宋体" w:cs="宋体"/>
          <w:sz w:val="28"/>
          <w:szCs w:val="28"/>
          <w:lang w:val="en-US" w:eastAsia="zh-CN"/>
        </w:rPr>
        <w:t>完成工作任务</w:t>
      </w:r>
      <w:r>
        <w:rPr>
          <w:rFonts w:hint="eastAsia" w:ascii="宋体" w:hAnsi="宋体" w:cs="宋体"/>
          <w:sz w:val="28"/>
          <w:szCs w:val="28"/>
        </w:rPr>
        <w:t>”或者“</w:t>
      </w:r>
      <w:r>
        <w:rPr>
          <w:rFonts w:hint="eastAsia" w:ascii="宋体" w:hAnsi="宋体" w:cs="宋体"/>
          <w:sz w:val="28"/>
          <w:szCs w:val="28"/>
          <w:lang w:val="en-US" w:eastAsia="zh-CN"/>
        </w:rPr>
        <w:t>产权明晰</w:t>
      </w:r>
      <w:r>
        <w:rPr>
          <w:rFonts w:hint="eastAsia" w:ascii="宋体" w:hAnsi="宋体" w:cs="宋体"/>
          <w:sz w:val="28"/>
          <w:szCs w:val="28"/>
        </w:rPr>
        <w:t>”等模糊化处理</w:t>
      </w:r>
      <w:r>
        <w:rPr>
          <w:rFonts w:hint="eastAsia" w:ascii="宋体" w:hAnsi="宋体" w:cs="宋体"/>
          <w:sz w:val="28"/>
          <w:szCs w:val="28"/>
          <w:lang w:eastAsia="zh-CN"/>
        </w:rPr>
        <w:t>，</w:t>
      </w:r>
      <w:r>
        <w:rPr>
          <w:rFonts w:hint="eastAsia" w:ascii="宋体" w:hAnsi="宋体" w:cs="宋体"/>
          <w:sz w:val="28"/>
          <w:szCs w:val="28"/>
          <w:lang w:val="en-US" w:eastAsia="zh-CN"/>
        </w:rPr>
        <w:t>但</w:t>
      </w:r>
      <w:r>
        <w:rPr>
          <w:rFonts w:hint="eastAsia" w:ascii="宋体" w:hAnsi="宋体" w:cs="宋体"/>
          <w:sz w:val="28"/>
          <w:szCs w:val="28"/>
        </w:rPr>
        <w:t>实际完成结果</w:t>
      </w:r>
      <w:r>
        <w:rPr>
          <w:rFonts w:hint="eastAsia" w:ascii="宋体" w:hAnsi="宋体" w:cs="宋体"/>
          <w:sz w:val="28"/>
          <w:szCs w:val="28"/>
          <w:lang w:val="en-US" w:eastAsia="zh-CN"/>
        </w:rPr>
        <w:t>包含了8个项目支出，无资金分配方案，无法核实2022年申请预算520万的专项资金分别对应哪些专项，或者申报的专项资金与实际使用专项资金是否偏离标准，无工作计划，仅凭自然资源局单位自我分配</w:t>
      </w:r>
      <w:r>
        <w:rPr>
          <w:rFonts w:hint="eastAsia" w:ascii="宋体" w:hAnsi="宋体" w:cs="宋体"/>
          <w:sz w:val="28"/>
          <w:szCs w:val="28"/>
        </w:rPr>
        <w:t>，影响项目的整体评价质量。</w:t>
      </w:r>
    </w:p>
    <w:p>
      <w:pPr>
        <w:pStyle w:val="35"/>
        <w:ind w:firstLine="560" w:firstLineChars="200"/>
        <w:rPr>
          <w:rFonts w:hint="eastAsia" w:ascii="宋体" w:hAnsi="宋体" w:cs="宋体"/>
          <w:kern w:val="44"/>
          <w:sz w:val="28"/>
          <w:szCs w:val="28"/>
          <w:lang w:val="en-US" w:eastAsia="zh-CN"/>
        </w:rPr>
      </w:pPr>
      <w:r>
        <w:rPr>
          <w:rFonts w:hint="eastAsia" w:ascii="宋体" w:hAnsi="宋体" w:cs="宋体"/>
          <w:kern w:val="44"/>
          <w:sz w:val="28"/>
          <w:szCs w:val="28"/>
        </w:rPr>
        <w:t>评价</w:t>
      </w:r>
      <w:r>
        <w:rPr>
          <w:rFonts w:hint="eastAsia" w:ascii="宋体" w:hAnsi="宋体" w:cs="宋体"/>
          <w:kern w:val="44"/>
          <w:sz w:val="28"/>
          <w:szCs w:val="28"/>
          <w:lang w:val="en-US" w:eastAsia="zh-CN"/>
        </w:rPr>
        <w:t>小组</w:t>
      </w:r>
      <w:r>
        <w:rPr>
          <w:rFonts w:hint="eastAsia" w:ascii="宋体" w:hAnsi="宋体" w:cs="宋体"/>
          <w:kern w:val="44"/>
          <w:sz w:val="28"/>
          <w:szCs w:val="28"/>
        </w:rPr>
        <w:t>认为：项目单位应严格按照财政部门、主管部门的要求，</w:t>
      </w:r>
      <w:r>
        <w:rPr>
          <w:rFonts w:hint="eastAsia" w:ascii="宋体" w:hAnsi="宋体" w:cs="宋体"/>
          <w:kern w:val="44"/>
          <w:sz w:val="28"/>
          <w:szCs w:val="28"/>
          <w:lang w:val="en-US" w:eastAsia="zh-CN"/>
        </w:rPr>
        <w:t>填写</w:t>
      </w:r>
      <w:r>
        <w:rPr>
          <w:rFonts w:hint="eastAsia" w:ascii="宋体" w:hAnsi="宋体" w:cs="宋体"/>
          <w:kern w:val="44"/>
          <w:sz w:val="28"/>
          <w:szCs w:val="28"/>
        </w:rPr>
        <w:t>绩效目标</w:t>
      </w:r>
      <w:r>
        <w:rPr>
          <w:rFonts w:hint="eastAsia" w:ascii="宋体" w:hAnsi="宋体" w:cs="宋体"/>
          <w:kern w:val="44"/>
          <w:sz w:val="28"/>
          <w:szCs w:val="28"/>
          <w:lang w:val="en-US" w:eastAsia="zh-CN"/>
        </w:rPr>
        <w:t>申报表，将目标制定成</w:t>
      </w:r>
      <w:r>
        <w:rPr>
          <w:rFonts w:hint="eastAsia" w:ascii="宋体" w:hAnsi="宋体" w:cs="宋体"/>
          <w:kern w:val="44"/>
          <w:sz w:val="28"/>
          <w:szCs w:val="28"/>
        </w:rPr>
        <w:t>可细化和量化的</w:t>
      </w:r>
      <w:r>
        <w:rPr>
          <w:rFonts w:hint="eastAsia" w:ascii="宋体" w:hAnsi="宋体" w:cs="宋体"/>
          <w:kern w:val="44"/>
          <w:sz w:val="28"/>
          <w:szCs w:val="28"/>
          <w:lang w:val="en-US" w:eastAsia="zh-CN"/>
        </w:rPr>
        <w:t>指标，自然资源局用2021年的项目申请2022年的预算，在</w:t>
      </w:r>
      <w:r>
        <w:rPr>
          <w:rFonts w:hint="eastAsia" w:asciiTheme="minorEastAsia" w:hAnsiTheme="minorEastAsia" w:eastAsiaTheme="minorEastAsia" w:cstheme="minorEastAsia"/>
          <w:i w:val="0"/>
          <w:color w:val="auto"/>
          <w:kern w:val="0"/>
          <w:sz w:val="28"/>
          <w:szCs w:val="28"/>
          <w:highlight w:val="none"/>
          <w:lang w:val="en-US" w:eastAsia="zh-CN" w:bidi="ar"/>
        </w:rPr>
        <w:t>已明确知晓需要申报的项目以及合同金额时</w:t>
      </w:r>
      <w:r>
        <w:rPr>
          <w:rFonts w:hint="eastAsia" w:ascii="宋体" w:hAnsi="宋体" w:cs="宋体"/>
          <w:kern w:val="44"/>
          <w:sz w:val="28"/>
          <w:szCs w:val="28"/>
          <w:lang w:val="en-US" w:eastAsia="zh-CN"/>
        </w:rPr>
        <w:t>，更应该将绩效目标申报表、预算申报目标细化，或者列出专项资金分配方案，云溪区自然资源局自我调配资金，对于实际使用是否与申请预算资金时一致，或者是否将专项资金挪用，评价人员无法核实，管理不严。</w:t>
      </w:r>
    </w:p>
    <w:p>
      <w:pPr>
        <w:pStyle w:val="35"/>
        <w:numPr>
          <w:ilvl w:val="0"/>
          <w:numId w:val="0"/>
        </w:numPr>
        <w:ind w:leftChars="200" w:firstLine="281" w:firstLineChars="100"/>
        <w:rPr>
          <w:rFonts w:hint="eastAsia" w:ascii="宋体" w:hAnsi="宋体" w:cs="宋体"/>
          <w:b/>
          <w:bCs/>
          <w:kern w:val="44"/>
          <w:sz w:val="28"/>
          <w:szCs w:val="28"/>
          <w:lang w:val="en-US" w:eastAsia="zh-CN"/>
        </w:rPr>
      </w:pPr>
      <w:r>
        <w:rPr>
          <w:rFonts w:hint="eastAsia" w:ascii="宋体" w:hAnsi="宋体" w:cs="宋体"/>
          <w:b/>
          <w:bCs/>
          <w:kern w:val="44"/>
          <w:sz w:val="28"/>
          <w:szCs w:val="28"/>
          <w:lang w:val="en-US" w:eastAsia="zh-CN"/>
        </w:rPr>
        <w:t>3、项目实际支出远超预算</w:t>
      </w:r>
    </w:p>
    <w:p>
      <w:pPr>
        <w:pStyle w:val="25"/>
        <w:ind w:firstLine="560" w:firstLineChars="200"/>
        <w:rPr>
          <w:rFonts w:hint="eastAsia" w:asciiTheme="minorEastAsia" w:hAnsiTheme="minorEastAsia" w:eastAsiaTheme="minorEastAsia" w:cstheme="minorEastAsia"/>
          <w:i w:val="0"/>
          <w:color w:val="auto"/>
          <w:kern w:val="0"/>
          <w:sz w:val="28"/>
          <w:szCs w:val="28"/>
          <w:highlight w:val="none"/>
          <w:lang w:val="en-US" w:eastAsia="zh-CN" w:bidi="ar"/>
        </w:rPr>
      </w:pPr>
      <w:r>
        <w:rPr>
          <w:rFonts w:hint="eastAsia" w:asciiTheme="minorEastAsia" w:hAnsiTheme="minorEastAsia" w:eastAsiaTheme="minorEastAsia" w:cstheme="minorEastAsia"/>
          <w:i w:val="0"/>
          <w:color w:val="auto"/>
          <w:kern w:val="0"/>
          <w:sz w:val="28"/>
          <w:szCs w:val="28"/>
          <w:highlight w:val="none"/>
          <w:lang w:val="en-US" w:eastAsia="zh-CN" w:bidi="ar"/>
        </w:rPr>
        <w:t>本项目预算成本为520万元，</w:t>
      </w:r>
      <w:r>
        <w:rPr>
          <w:rFonts w:hint="eastAsia" w:ascii="宋体" w:hAnsi="宋体" w:cs="宋体"/>
          <w:kern w:val="44"/>
          <w:sz w:val="28"/>
          <w:szCs w:val="28"/>
          <w:lang w:val="en-US" w:eastAsia="zh-CN"/>
        </w:rPr>
        <w:t>年初申报时按项目申报预算，</w:t>
      </w:r>
      <w:r>
        <w:rPr>
          <w:rFonts w:hint="eastAsia" w:asciiTheme="minorEastAsia" w:hAnsiTheme="minorEastAsia" w:eastAsiaTheme="minorEastAsia" w:cstheme="minorEastAsia"/>
          <w:i w:val="0"/>
          <w:color w:val="auto"/>
          <w:kern w:val="0"/>
          <w:sz w:val="28"/>
          <w:szCs w:val="28"/>
          <w:highlight w:val="none"/>
          <w:lang w:val="en-US" w:eastAsia="zh-CN" w:bidi="ar"/>
        </w:rPr>
        <w:t>项目合同总金额676.53万元，</w:t>
      </w:r>
      <w:r>
        <w:rPr>
          <w:rFonts w:hint="eastAsia" w:ascii="宋体" w:hAnsi="宋体" w:cs="宋体"/>
          <w:kern w:val="44"/>
          <w:sz w:val="28"/>
          <w:szCs w:val="28"/>
          <w:lang w:val="en-US" w:eastAsia="zh-CN"/>
        </w:rPr>
        <w:t>目前</w:t>
      </w:r>
      <w:r>
        <w:rPr>
          <w:rFonts w:hint="eastAsia" w:asciiTheme="minorEastAsia" w:hAnsiTheme="minorEastAsia" w:eastAsiaTheme="minorEastAsia" w:cstheme="minorEastAsia"/>
          <w:i w:val="0"/>
          <w:color w:val="auto"/>
          <w:kern w:val="0"/>
          <w:sz w:val="28"/>
          <w:szCs w:val="28"/>
          <w:highlight w:val="none"/>
          <w:lang w:val="en-US" w:eastAsia="zh-CN" w:bidi="ar"/>
        </w:rPr>
        <w:t>实际使用590.03万元，剩余未支付项目资金86.5万元，超出年初申报预算金额156.53万元，超出比例高达30.1%。</w:t>
      </w:r>
    </w:p>
    <w:p>
      <w:pPr>
        <w:ind w:firstLine="560" w:firstLineChars="200"/>
        <w:rPr>
          <w:rFonts w:hint="default"/>
          <w:color w:val="auto"/>
          <w:lang w:val="en-US" w:eastAsia="zh-CN"/>
        </w:rPr>
      </w:pPr>
      <w:r>
        <w:rPr>
          <w:rFonts w:hint="eastAsia" w:asciiTheme="minorEastAsia" w:hAnsiTheme="minorEastAsia" w:eastAsiaTheme="minorEastAsia" w:cstheme="minorEastAsia"/>
          <w:i w:val="0"/>
          <w:color w:val="auto"/>
          <w:kern w:val="0"/>
          <w:sz w:val="28"/>
          <w:szCs w:val="28"/>
          <w:highlight w:val="none"/>
          <w:lang w:val="en-US" w:eastAsia="zh-CN" w:bidi="ar"/>
        </w:rPr>
        <w:t>评价小组认为：自然资源局2022年申报2021年专项资金预算时，因该项目是2021年已经实施的项目，项目合同金额及项目整体开支情况都很明确，但还是超出预算成本，成本控制不严 。</w:t>
      </w:r>
    </w:p>
    <w:p>
      <w:pPr>
        <w:rPr>
          <w:rFonts w:hint="eastAsia" w:ascii="宋体" w:hAnsi="宋体" w:eastAsia="宋体" w:cs="宋体"/>
          <w:color w:val="auto"/>
          <w:kern w:val="44"/>
          <w:sz w:val="28"/>
          <w:szCs w:val="28"/>
          <w:lang w:val="en-US" w:eastAsia="zh-CN" w:bidi="ar-SA"/>
        </w:rPr>
      </w:pPr>
      <w:r>
        <w:rPr>
          <w:rFonts w:hint="eastAsia" w:asciiTheme="minorEastAsia" w:hAnsiTheme="minorEastAsia" w:eastAsiaTheme="minorEastAsia" w:cstheme="minorEastAsia"/>
          <w:b w:val="0"/>
          <w:bCs/>
          <w:i w:val="0"/>
          <w:caps w:val="0"/>
          <w:color w:val="auto"/>
          <w:spacing w:val="0"/>
          <w:sz w:val="28"/>
          <w:szCs w:val="28"/>
          <w:shd w:val="clear" w:color="auto" w:fill="FFFFFF"/>
          <w:lang w:val="en-US" w:eastAsia="zh-CN"/>
        </w:rPr>
        <w:t xml:space="preserve">    </w:t>
      </w:r>
      <w:r>
        <w:rPr>
          <w:rFonts w:hint="eastAsia" w:asciiTheme="minorEastAsia" w:hAnsiTheme="minorEastAsia" w:eastAsiaTheme="minorEastAsia" w:cstheme="minorEastAsia"/>
          <w:b/>
          <w:bCs w:val="0"/>
          <w:i w:val="0"/>
          <w:caps w:val="0"/>
          <w:color w:val="auto"/>
          <w:spacing w:val="0"/>
          <w:sz w:val="28"/>
          <w:szCs w:val="28"/>
          <w:shd w:val="clear" w:color="auto" w:fill="FFFFFF"/>
          <w:lang w:val="en-US" w:eastAsia="zh-CN"/>
        </w:rPr>
        <w:t>（二）项目支出与财务管理方面</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Theme="minorEastAsia" w:hAnsiTheme="minorEastAsia" w:eastAsiaTheme="minorEastAsia" w:cstheme="minorEastAsia"/>
          <w:b/>
          <w:bCs/>
          <w:color w:val="FF0000"/>
          <w:kern w:val="2"/>
          <w:sz w:val="28"/>
          <w:szCs w:val="28"/>
          <w:highlight w:val="none"/>
          <w:lang w:val="en-US" w:eastAsia="zh-CN" w:bidi="ar-SA"/>
        </w:rPr>
      </w:pPr>
      <w:r>
        <w:rPr>
          <w:rFonts w:hint="eastAsia" w:asciiTheme="minorEastAsia" w:hAnsiTheme="minorEastAsia" w:eastAsiaTheme="minorEastAsia" w:cstheme="minorEastAsia"/>
          <w:b/>
          <w:bCs/>
          <w:kern w:val="2"/>
          <w:sz w:val="28"/>
          <w:szCs w:val="28"/>
          <w:highlight w:val="none"/>
          <w:lang w:val="en-US" w:eastAsia="zh-CN" w:bidi="ar-SA"/>
        </w:rPr>
        <w:t>1、项目目标未完成或时间拖延过久，监管不严</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cs="宋体"/>
          <w:kern w:val="44"/>
          <w:sz w:val="28"/>
          <w:szCs w:val="28"/>
          <w:lang w:val="en-US" w:eastAsia="zh-CN" w:bidi="ar-SA"/>
        </w:rPr>
      </w:pPr>
      <w:r>
        <w:rPr>
          <w:rFonts w:hint="eastAsia" w:ascii="宋体" w:hAnsi="宋体" w:cs="宋体"/>
          <w:kern w:val="44"/>
          <w:sz w:val="28"/>
          <w:szCs w:val="28"/>
          <w:lang w:val="en-US" w:eastAsia="zh-CN" w:bidi="ar-SA"/>
        </w:rPr>
        <w:t>（1）2021年4月与2022年6月，湖南省自然资源厅分别发布《关于进一步做好农村宅基地和集体建设用地房地一体确权登记工作的通知》规定完成时间是2022年9月底之前与2022年11月份之前。</w:t>
      </w:r>
    </w:p>
    <w:p>
      <w:pPr>
        <w:numPr>
          <w:ilvl w:val="0"/>
          <w:numId w:val="0"/>
        </w:numPr>
        <w:ind w:firstLine="560" w:firstLineChars="200"/>
        <w:jc w:val="left"/>
        <w:rPr>
          <w:rFonts w:hint="default" w:ascii="宋体" w:hAnsi="宋体" w:cs="宋体"/>
          <w:kern w:val="44"/>
          <w:sz w:val="28"/>
          <w:szCs w:val="28"/>
          <w:lang w:val="en-US" w:eastAsia="zh-CN" w:bidi="ar-SA"/>
        </w:rPr>
      </w:pPr>
      <w:r>
        <w:rPr>
          <w:rFonts w:hint="eastAsia" w:ascii="宋体" w:hAnsi="宋体" w:cs="宋体"/>
          <w:kern w:val="44"/>
          <w:sz w:val="28"/>
          <w:szCs w:val="28"/>
          <w:lang w:val="en-US" w:eastAsia="zh-CN" w:bidi="ar-SA"/>
        </w:rPr>
        <w:t>2021年3月，云溪区自然资源局向云溪区人民政府申请</w:t>
      </w:r>
      <w:r>
        <w:rPr>
          <w:rFonts w:hint="eastAsia" w:ascii="宋体" w:hAnsi="宋体" w:eastAsia="宋体" w:cs="宋体"/>
          <w:kern w:val="44"/>
          <w:sz w:val="28"/>
          <w:szCs w:val="28"/>
          <w:lang w:val="en-US" w:eastAsia="zh-CN" w:bidi="ar-SA"/>
        </w:rPr>
        <w:t>房地一体</w:t>
      </w:r>
      <w:r>
        <w:rPr>
          <w:rFonts w:hint="eastAsia" w:ascii="宋体" w:hAnsi="宋体" w:cs="宋体"/>
          <w:kern w:val="44"/>
          <w:sz w:val="28"/>
          <w:szCs w:val="28"/>
          <w:lang w:val="en-US" w:eastAsia="zh-CN" w:bidi="ar-SA"/>
        </w:rPr>
        <w:t>确权登记</w:t>
      </w:r>
      <w:r>
        <w:rPr>
          <w:rFonts w:hint="eastAsia" w:ascii="宋体" w:hAnsi="宋体" w:eastAsia="宋体" w:cs="宋体"/>
          <w:kern w:val="44"/>
          <w:sz w:val="28"/>
          <w:szCs w:val="28"/>
          <w:lang w:val="en-US" w:eastAsia="zh-CN" w:bidi="ar-SA"/>
        </w:rPr>
        <w:t>补充调查</w:t>
      </w:r>
      <w:r>
        <w:rPr>
          <w:rFonts w:hint="eastAsia" w:ascii="宋体" w:hAnsi="宋体" w:cs="宋体"/>
          <w:kern w:val="44"/>
          <w:sz w:val="28"/>
          <w:szCs w:val="28"/>
          <w:lang w:val="en-US" w:eastAsia="zh-CN" w:bidi="ar-SA"/>
        </w:rPr>
        <w:t>项目相关经费，区政府已经批复，但</w:t>
      </w:r>
      <w:r>
        <w:rPr>
          <w:rFonts w:hint="eastAsia" w:ascii="宋体" w:hAnsi="宋体" w:eastAsia="宋体" w:cs="宋体"/>
          <w:kern w:val="44"/>
          <w:sz w:val="28"/>
          <w:szCs w:val="28"/>
          <w:lang w:val="en-US" w:eastAsia="zh-CN" w:bidi="ar-SA"/>
        </w:rPr>
        <w:t>项目</w:t>
      </w:r>
      <w:r>
        <w:rPr>
          <w:rFonts w:hint="eastAsia" w:ascii="宋体" w:hAnsi="宋体" w:cs="宋体"/>
          <w:kern w:val="44"/>
          <w:sz w:val="28"/>
          <w:szCs w:val="28"/>
          <w:lang w:val="en-US" w:eastAsia="zh-CN" w:bidi="ar-SA"/>
        </w:rPr>
        <w:t>在2021年8月才开始招标，招标以及合同中明确规定中标公司要完成权籍调查约4000宗，并做好确权登记颁证项目的延续工作，包括权属调查、不动产测量、调查结果公示、数据库建设等工作，绩效评价小组到实施单位抽查核实，截止2022年12月，权籍调查只完成不到一半2073宗，公示、数据库建立、不动产落宗、建立数据库、不动产落宗、联审、登簿缮证、协助发证、数据库汇交均未完成。</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cs="宋体"/>
          <w:kern w:val="44"/>
          <w:sz w:val="28"/>
          <w:szCs w:val="28"/>
          <w:lang w:val="en-US" w:eastAsia="zh-CN" w:bidi="ar-SA"/>
        </w:rPr>
      </w:pPr>
      <w:r>
        <w:rPr>
          <w:rFonts w:hint="eastAsia" w:ascii="宋体" w:hAnsi="宋体" w:eastAsia="宋体" w:cs="宋体"/>
          <w:kern w:val="44"/>
          <w:sz w:val="28"/>
          <w:szCs w:val="28"/>
          <w:lang w:val="en-US" w:eastAsia="zh-CN" w:bidi="ar-SA"/>
        </w:rPr>
        <w:t>评价小组认为：</w:t>
      </w:r>
      <w:r>
        <w:rPr>
          <w:rFonts w:hint="eastAsia" w:ascii="宋体" w:hAnsi="宋体" w:cs="宋体"/>
          <w:kern w:val="44"/>
          <w:sz w:val="28"/>
          <w:szCs w:val="28"/>
          <w:lang w:val="en-US" w:eastAsia="zh-CN" w:bidi="ar-SA"/>
        </w:rPr>
        <w:t>自然资源局在3月份就已经申报房地一体确权登记项目，对省自然资源厅规定11月底之前完成的时间节点也明确了解，但自然资源局8月份才开始进行招标，2021年8月份的项目，截止2022年12月份，项目还在前期调查阶段，完成不到一半的任务，要到最后发证、数据汇交遥遥无期，实施方违背合同约定，自然资源局对项目进度把控不严，监管不到位。</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cs="宋体"/>
          <w:kern w:val="44"/>
          <w:sz w:val="28"/>
          <w:szCs w:val="28"/>
          <w:lang w:val="en-US" w:eastAsia="zh-CN" w:bidi="ar-SA"/>
        </w:rPr>
      </w:pPr>
      <w:r>
        <w:rPr>
          <w:rFonts w:hint="eastAsia" w:ascii="宋体" w:hAnsi="宋体" w:cs="宋体"/>
          <w:kern w:val="44"/>
          <w:sz w:val="28"/>
          <w:szCs w:val="28"/>
          <w:lang w:val="en-US" w:eastAsia="zh-CN" w:bidi="ar-SA"/>
        </w:rPr>
        <w:t>（2）2021年1月，湖南省自然资源厅发布了各县市区开展1:500地形图数据测绘项目工作，并要求7月1日之前完成项目，云溪区自然资源局在2021年4月向云溪区人民政府申请项目工作开展的请示，对项目的测绘要求为50.16平方公里，但该项目8月份才开始招标，9月份签订合同，2022年1月才进行最后验收移交工作，并且最后移交给湖南省第三测绘院的验收单上主要问题中含有“本批次汇交的成果范围与土地利用总体规划中心城区边界无重叠”以及“本批次汇交的成果范围与土地利用总体规划中心城区边界重叠面积14.06平方公里，超出边界面积6.85平方公里，未覆盖面积23.49平方公里”，验收出现部分不符最初规划的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cs="宋体"/>
          <w:kern w:val="44"/>
          <w:sz w:val="28"/>
          <w:szCs w:val="28"/>
          <w:lang w:val="en-US" w:eastAsia="zh-CN" w:bidi="ar-SA"/>
        </w:rPr>
      </w:pPr>
      <w:r>
        <w:rPr>
          <w:rFonts w:hint="eastAsia" w:ascii="宋体" w:hAnsi="宋体" w:cs="宋体"/>
          <w:kern w:val="44"/>
          <w:sz w:val="28"/>
          <w:szCs w:val="28"/>
          <w:lang w:val="en-US" w:eastAsia="zh-CN" w:bidi="ar-SA"/>
        </w:rPr>
        <w:t>评价小组认为：一是未按时间完成项目，超出半年之久才验收移交，二是未达到要求公里数以及最后成果范围部分不达标，评价小组与项目承包方核实验收单上主要问题中，湖南省第三测绘院提到的无重叠和重叠具体情况，经承包方解释，无重叠代表与土地利用总体规划中心最初规划不相符，承包方是按照自然资源管理局规划的测绘标准提交结果，自然资源管理局未按照土地利用总体规划中心要求范围内测绘，随意更改测绘范围，且最初制定的50.16平方公里，最终也只完成31平方公里。</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宋体" w:hAnsi="宋体" w:cs="宋体"/>
          <w:b/>
          <w:bCs/>
          <w:color w:val="auto"/>
          <w:kern w:val="44"/>
          <w:sz w:val="28"/>
          <w:szCs w:val="28"/>
          <w:lang w:val="en-US" w:eastAsia="zh-CN" w:bidi="ar-SA"/>
        </w:rPr>
      </w:pPr>
      <w:r>
        <w:rPr>
          <w:rFonts w:hint="eastAsia" w:ascii="宋体" w:hAnsi="宋体" w:cs="宋体"/>
          <w:b/>
          <w:bCs/>
          <w:kern w:val="44"/>
          <w:sz w:val="28"/>
          <w:szCs w:val="28"/>
          <w:lang w:val="en-US" w:eastAsia="zh-CN" w:bidi="ar-SA"/>
        </w:rPr>
        <w:t>2、2021年综合性项目</w:t>
      </w:r>
      <w:r>
        <w:rPr>
          <w:rFonts w:hint="default" w:ascii="宋体" w:hAnsi="宋体" w:cs="宋体"/>
          <w:b/>
          <w:bCs/>
          <w:kern w:val="44"/>
          <w:sz w:val="28"/>
          <w:szCs w:val="28"/>
          <w:lang w:val="en-US" w:eastAsia="zh-CN" w:bidi="ar-SA"/>
        </w:rPr>
        <w:t>竞争性</w:t>
      </w:r>
      <w:r>
        <w:rPr>
          <w:rFonts w:hint="default" w:ascii="宋体" w:hAnsi="宋体" w:cs="宋体"/>
          <w:b/>
          <w:bCs/>
          <w:color w:val="auto"/>
          <w:kern w:val="44"/>
          <w:sz w:val="28"/>
          <w:szCs w:val="28"/>
          <w:lang w:val="en-US" w:eastAsia="zh-CN" w:bidi="ar-SA"/>
        </w:rPr>
        <w:t>谈判</w:t>
      </w:r>
      <w:r>
        <w:rPr>
          <w:rFonts w:hint="eastAsia" w:ascii="宋体" w:hAnsi="宋体" w:cs="宋体"/>
          <w:b/>
          <w:bCs/>
          <w:color w:val="auto"/>
          <w:kern w:val="44"/>
          <w:sz w:val="28"/>
          <w:szCs w:val="28"/>
          <w:lang w:val="en-US" w:eastAsia="zh-CN" w:bidi="ar-SA"/>
        </w:rPr>
        <w:t>程序违规</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cs="宋体"/>
          <w:b/>
          <w:bCs/>
          <w:kern w:val="44"/>
          <w:sz w:val="28"/>
          <w:szCs w:val="28"/>
          <w:lang w:val="en-US" w:eastAsia="zh-CN" w:bidi="ar-SA"/>
        </w:rPr>
      </w:pPr>
      <w:r>
        <w:rPr>
          <w:rFonts w:hint="eastAsia" w:ascii="宋体" w:hAnsi="宋体" w:cs="宋体"/>
          <w:kern w:val="44"/>
          <w:sz w:val="28"/>
          <w:szCs w:val="28"/>
          <w:lang w:val="en-US" w:eastAsia="zh-CN" w:bidi="ar-SA"/>
        </w:rPr>
        <w:t>大部分项目存在谈判小组仅安排三人进行评审，其中包含组长、采购方、评审专家，未对每个专项工作</w:t>
      </w:r>
      <w:r>
        <w:rPr>
          <w:rFonts w:hint="eastAsia" w:ascii="宋体" w:hAnsi="宋体" w:cs="宋体"/>
          <w:kern w:val="44"/>
          <w:sz w:val="28"/>
          <w:szCs w:val="28"/>
          <w:highlight w:val="none"/>
          <w:lang w:val="en-US" w:eastAsia="zh-CN" w:bidi="ar-SA"/>
        </w:rPr>
        <w:t>定制采购服务要</w:t>
      </w:r>
      <w:r>
        <w:rPr>
          <w:rFonts w:hint="eastAsia" w:ascii="宋体" w:hAnsi="宋体" w:cs="宋体"/>
          <w:kern w:val="44"/>
          <w:sz w:val="28"/>
          <w:szCs w:val="28"/>
          <w:lang w:val="en-US" w:eastAsia="zh-CN" w:bidi="ar-SA"/>
        </w:rPr>
        <w:t>求，仅通过两轮报价直接选定供应商，例如：1:500地形图数据测绘项目、云溪区村庄规划编制项目、房地一体确权登记、设施农用土上图入库项目、基准地价定价与更新项目等。</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cs="宋体"/>
          <w:b/>
          <w:bCs/>
          <w:color w:val="auto"/>
          <w:kern w:val="44"/>
          <w:sz w:val="28"/>
          <w:szCs w:val="28"/>
          <w:lang w:val="en-US" w:eastAsia="zh-CN" w:bidi="ar-SA"/>
        </w:rPr>
      </w:pPr>
      <w:r>
        <w:rPr>
          <w:rFonts w:hint="eastAsia" w:ascii="宋体" w:hAnsi="宋体" w:cs="宋体"/>
          <w:color w:val="auto"/>
          <w:kern w:val="44"/>
          <w:sz w:val="28"/>
          <w:szCs w:val="28"/>
          <w:lang w:val="en-US" w:eastAsia="zh-CN" w:bidi="ar-SA"/>
        </w:rPr>
        <w:t>上述情况，不符合</w:t>
      </w:r>
      <w:r>
        <w:rPr>
          <w:rFonts w:hint="default" w:ascii="宋体" w:hAnsi="宋体" w:cs="宋体"/>
          <w:color w:val="auto"/>
          <w:kern w:val="44"/>
          <w:sz w:val="28"/>
          <w:szCs w:val="28"/>
          <w:lang w:val="en-US" w:eastAsia="zh-CN" w:bidi="ar-SA"/>
        </w:rPr>
        <w:t>《中华人民共和国政府采购法》第三十八条</w:t>
      </w:r>
      <w:r>
        <w:rPr>
          <w:rFonts w:hint="eastAsia" w:ascii="宋体" w:hAnsi="宋体" w:cs="宋体"/>
          <w:color w:val="auto"/>
          <w:kern w:val="44"/>
          <w:sz w:val="28"/>
          <w:szCs w:val="28"/>
          <w:lang w:val="en-US" w:eastAsia="zh-CN" w:bidi="ar-SA"/>
        </w:rPr>
        <w:t>“</w:t>
      </w:r>
      <w:r>
        <w:rPr>
          <w:rFonts w:hint="default" w:ascii="宋体" w:hAnsi="宋体" w:cs="宋体"/>
          <w:color w:val="auto"/>
          <w:kern w:val="44"/>
          <w:sz w:val="28"/>
          <w:szCs w:val="28"/>
          <w:lang w:val="en-US" w:eastAsia="zh-CN" w:bidi="ar-SA"/>
        </w:rPr>
        <w:t>采</w:t>
      </w:r>
      <w:r>
        <w:rPr>
          <w:rFonts w:hint="default" w:ascii="宋体" w:hAnsi="宋体" w:cs="宋体"/>
          <w:kern w:val="44"/>
          <w:sz w:val="28"/>
          <w:szCs w:val="28"/>
          <w:lang w:val="en-US" w:eastAsia="zh-CN" w:bidi="ar-SA"/>
        </w:rPr>
        <w:t>用竞争性谈判方式采购的，应当遵循下列程序：成立谈判小组，谈判小组由采购人的代表和有关专家共三人以上的单数组成，其中专家的人数不得少于成员总数的三分之二。制定谈判文件，谈判文件应当明确谈判程序、谈判内容、合同草案的条款以及评定成</w:t>
      </w:r>
      <w:r>
        <w:rPr>
          <w:rFonts w:hint="default" w:ascii="宋体" w:hAnsi="宋体" w:cs="宋体"/>
          <w:color w:val="auto"/>
          <w:kern w:val="44"/>
          <w:sz w:val="28"/>
          <w:szCs w:val="28"/>
          <w:lang w:val="en-US" w:eastAsia="zh-CN" w:bidi="ar-SA"/>
        </w:rPr>
        <w:t>交的标准等事项</w:t>
      </w:r>
      <w:r>
        <w:rPr>
          <w:rFonts w:hint="eastAsia" w:ascii="宋体" w:hAnsi="宋体" w:cs="宋体"/>
          <w:color w:val="auto"/>
          <w:kern w:val="44"/>
          <w:sz w:val="28"/>
          <w:szCs w:val="28"/>
          <w:lang w:val="en-US" w:eastAsia="zh-CN" w:bidi="ar-SA"/>
        </w:rPr>
        <w:t>”的</w:t>
      </w:r>
      <w:r>
        <w:rPr>
          <w:rFonts w:hint="default" w:ascii="宋体" w:hAnsi="宋体" w:cs="宋体"/>
          <w:color w:val="auto"/>
          <w:kern w:val="44"/>
          <w:sz w:val="28"/>
          <w:szCs w:val="28"/>
          <w:lang w:val="en-US" w:eastAsia="zh-CN" w:bidi="ar-SA"/>
        </w:rPr>
        <w:t>规定</w:t>
      </w:r>
      <w:r>
        <w:rPr>
          <w:rFonts w:hint="eastAsia" w:ascii="宋体" w:hAnsi="宋体" w:cs="宋体"/>
          <w:color w:val="auto"/>
          <w:kern w:val="44"/>
          <w:sz w:val="28"/>
          <w:szCs w:val="28"/>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left"/>
        <w:textAlignment w:val="auto"/>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t>四、有关建议</w:t>
      </w:r>
    </w:p>
    <w:p>
      <w:pPr>
        <w:pStyle w:val="2"/>
        <w:ind w:left="0" w:leftChars="0"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1、科学设定绩效目标和指标，增强项目效果可信度。</w:t>
      </w:r>
    </w:p>
    <w:p>
      <w:pPr>
        <w:pStyle w:val="2"/>
        <w:ind w:left="0" w:leftChars="0"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资金使用单位绩效指标设定应尽量量化、可考核化，强化项目本身实施后可能带来的社会和经济效益。在提出项目绩效目标时，充分考虑项目的实际情况，科学、合理的量身制订适合本项目绩效的有关指标，从数量、质量、成本和效益四个方面进行分析，应该与资金使用单位所在区域社会经济发展的宏观政策目标相联结，明确项目产出的同时，对项目的效益指标需要有进一步的论述，并结合项目的性质设定个性化指标。在指标量化方面，要根据历史数据，综合考虑社会形势、经济发展水平等多个因素，合理制定项目产出、经济效益、社会效益、可持续效益等指标的量化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2、增强预算管理意识，严格预算支出管理。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按照预算科目和项目资金的规定使用财政资金，保障部门支出的规范性、制度化。根据《中华人民共和国预算法》有关规定，应先有预算、后有支出，支出必须以经批准的预算为依据，未列入预算科目的不得随意列支，如预算需调整，应当办理申请调整相关手续。增强预算管理意识，保证预算计划基本准确，严格预算执行。在科学合理测算的基础上做好预算安排；加强预算编制质量管理，提高申报预算准确性，保证预算编制内容完整性，促进预算编制质量的提高。</w:t>
      </w:r>
    </w:p>
    <w:p>
      <w:pPr>
        <w:pStyle w:val="2"/>
        <w:ind w:left="0" w:leftChars="0"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3、强化项目全过程管理，提高政策执行力度。</w:t>
      </w:r>
    </w:p>
    <w:p>
      <w:pPr>
        <w:pStyle w:val="2"/>
        <w:ind w:left="0" w:leftChars="0" w:firstLine="560" w:firstLineChars="200"/>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进一步强化项目全过程管理，提高政策执行力度。主管单位应加大项目实施的过程监督，严格执行国家财经法规。资金使用单位加强资金的管理，从严控制项目支出，确保项目实施全过程合规、合法，较好的实现</w:t>
      </w:r>
      <w:r>
        <w:rPr>
          <w:rFonts w:hint="eastAsia" w:asciiTheme="minorEastAsia" w:hAnsiTheme="minorEastAsia" w:eastAsiaTheme="minorEastAsia" w:cstheme="minorEastAsia"/>
          <w:b w:val="0"/>
          <w:bCs w:val="0"/>
          <w:color w:val="auto"/>
          <w:kern w:val="2"/>
          <w:sz w:val="28"/>
          <w:szCs w:val="28"/>
          <w:lang w:val="en-US" w:eastAsia="zh-CN" w:bidi="ar-SA"/>
        </w:rPr>
        <w:t>项目实施目标。</w:t>
      </w:r>
    </w:p>
    <w:p>
      <w:pPr>
        <w:pStyle w:val="2"/>
        <w:numPr>
          <w:ilvl w:val="0"/>
          <w:numId w:val="0"/>
        </w:numPr>
        <w:ind w:firstLine="560" w:firstLineChars="200"/>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4、要加强对项目工期的监督管理</w:t>
      </w:r>
    </w:p>
    <w:p>
      <w:pPr>
        <w:pStyle w:val="2"/>
        <w:numPr>
          <w:ilvl w:val="0"/>
          <w:numId w:val="0"/>
        </w:numPr>
        <w:ind w:firstLine="560" w:firstLineChars="200"/>
        <w:rPr>
          <w:rFonts w:hint="default"/>
          <w:color w:val="auto"/>
          <w:lang w:val="en-US" w:eastAsia="zh-CN"/>
        </w:rPr>
      </w:pPr>
      <w:r>
        <w:rPr>
          <w:rFonts w:hint="eastAsia" w:asciiTheme="minorEastAsia" w:hAnsiTheme="minorEastAsia" w:eastAsiaTheme="minorEastAsia" w:cstheme="minorEastAsia"/>
          <w:b w:val="0"/>
          <w:bCs w:val="0"/>
          <w:color w:val="auto"/>
          <w:kern w:val="2"/>
          <w:sz w:val="28"/>
          <w:szCs w:val="28"/>
          <w:lang w:val="en-US" w:eastAsia="zh-CN" w:bidi="ar-SA"/>
        </w:rPr>
        <w:t>建议项目单位严格项目合同约定日期及时完成。当不能按时完工时，应及时向有关政府职能报告工期延期的原因及应对措施。</w:t>
      </w:r>
    </w:p>
    <w:p>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五</w:t>
      </w:r>
      <w:r>
        <w:rPr>
          <w:rFonts w:hint="eastAsia" w:asciiTheme="minorEastAsia" w:hAnsiTheme="minorEastAsia" w:eastAsiaTheme="minorEastAsia" w:cstheme="minorEastAsia"/>
          <w:b/>
          <w:sz w:val="28"/>
          <w:szCs w:val="28"/>
        </w:rPr>
        <w:t>、其他需要说明的问题</w:t>
      </w:r>
    </w:p>
    <w:p>
      <w:pPr>
        <w:ind w:firstLine="560" w:firstLineChars="200"/>
        <w:rPr>
          <w:rFonts w:hint="eastAsia" w:ascii="宋体" w:hAnsi="宋体" w:eastAsia="宋体" w:cs="宋体"/>
          <w:color w:val="000000"/>
          <w:sz w:val="28"/>
          <w:szCs w:val="28"/>
        </w:rPr>
      </w:pPr>
      <w:r>
        <w:rPr>
          <w:rFonts w:hint="eastAsia" w:asciiTheme="minorEastAsia" w:hAnsiTheme="minorEastAsia" w:eastAsiaTheme="minorEastAsia" w:cstheme="minorEastAsia"/>
          <w:color w:val="000000"/>
          <w:sz w:val="28"/>
          <w:szCs w:val="28"/>
        </w:rPr>
        <w:t xml:space="preserve"> 1、本报告数据仅根据</w:t>
      </w:r>
      <w:r>
        <w:rPr>
          <w:rFonts w:hint="eastAsia" w:asciiTheme="minorEastAsia" w:hAnsiTheme="minorEastAsia" w:eastAsiaTheme="minorEastAsia" w:cstheme="minorEastAsia"/>
          <w:sz w:val="28"/>
          <w:szCs w:val="28"/>
        </w:rPr>
        <w:t>项目单位</w:t>
      </w:r>
      <w:r>
        <w:rPr>
          <w:rFonts w:hint="eastAsia" w:asciiTheme="minorEastAsia" w:hAnsiTheme="minorEastAsia" w:eastAsiaTheme="minorEastAsia" w:cstheme="minorEastAsia"/>
          <w:color w:val="000000"/>
          <w:sz w:val="28"/>
          <w:szCs w:val="28"/>
        </w:rPr>
        <w:t>提供的文件、资料、原始</w:t>
      </w:r>
      <w:r>
        <w:rPr>
          <w:rFonts w:hint="eastAsia" w:asciiTheme="minorEastAsia" w:hAnsiTheme="minorEastAsia" w:eastAsiaTheme="minorEastAsia" w:cstheme="minorEastAsia"/>
          <w:color w:val="000000"/>
          <w:sz w:val="28"/>
          <w:szCs w:val="28"/>
          <w:lang w:val="en-US" w:eastAsia="zh-CN"/>
        </w:rPr>
        <w:t>凭</w:t>
      </w:r>
      <w:r>
        <w:rPr>
          <w:rFonts w:hint="eastAsia" w:asciiTheme="minorEastAsia" w:hAnsiTheme="minorEastAsia" w:eastAsiaTheme="minorEastAsia" w:cstheme="minorEastAsia"/>
          <w:color w:val="000000"/>
          <w:sz w:val="28"/>
          <w:szCs w:val="28"/>
        </w:rPr>
        <w:t>证、清单数据及内</w:t>
      </w:r>
      <w:r>
        <w:rPr>
          <w:rFonts w:hint="eastAsia" w:ascii="宋体" w:hAnsi="宋体" w:eastAsia="宋体" w:cs="宋体"/>
          <w:color w:val="000000"/>
          <w:sz w:val="28"/>
          <w:szCs w:val="28"/>
        </w:rPr>
        <w:t>容进行的</w:t>
      </w:r>
      <w:r>
        <w:rPr>
          <w:rFonts w:hint="eastAsia" w:ascii="宋体" w:hAnsi="宋体" w:eastAsia="宋体" w:cs="宋体"/>
          <w:color w:val="000000"/>
          <w:sz w:val="28"/>
          <w:szCs w:val="28"/>
          <w:lang w:eastAsia="zh-CN"/>
        </w:rPr>
        <w:t>评价</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绩效评价</w:t>
      </w:r>
      <w:r>
        <w:rPr>
          <w:rFonts w:hint="eastAsia" w:ascii="宋体" w:hAnsi="宋体" w:eastAsia="宋体" w:cs="宋体"/>
          <w:color w:val="000000"/>
          <w:sz w:val="28"/>
          <w:szCs w:val="28"/>
        </w:rPr>
        <w:t>意见和观点是在</w:t>
      </w:r>
      <w:r>
        <w:rPr>
          <w:rFonts w:hint="eastAsia" w:ascii="宋体" w:hAnsi="宋体" w:eastAsia="宋体" w:cs="宋体"/>
          <w:color w:val="000000"/>
          <w:sz w:val="28"/>
          <w:szCs w:val="28"/>
          <w:lang w:eastAsia="zh-CN"/>
        </w:rPr>
        <w:t>规定</w:t>
      </w:r>
      <w:r>
        <w:rPr>
          <w:rFonts w:hint="eastAsia" w:ascii="宋体" w:hAnsi="宋体" w:eastAsia="宋体" w:cs="宋体"/>
          <w:color w:val="000000"/>
          <w:sz w:val="28"/>
          <w:szCs w:val="28"/>
        </w:rPr>
        <w:t>时点的基础上出具的，</w:t>
      </w:r>
      <w:r>
        <w:rPr>
          <w:rFonts w:hint="eastAsia" w:ascii="宋体" w:hAnsi="宋体" w:eastAsia="宋体" w:cs="宋体"/>
          <w:color w:val="000000"/>
          <w:sz w:val="28"/>
          <w:szCs w:val="28"/>
          <w:lang w:eastAsia="zh-CN"/>
        </w:rPr>
        <w:t>本报告不包含之后项目的动态变化情况</w:t>
      </w:r>
      <w:r>
        <w:rPr>
          <w:rFonts w:hint="eastAsia" w:ascii="宋体" w:hAnsi="宋体" w:eastAsia="宋体" w:cs="宋体"/>
          <w:color w:val="000000"/>
          <w:sz w:val="28"/>
          <w:szCs w:val="28"/>
        </w:rPr>
        <w:t>。</w:t>
      </w:r>
    </w:p>
    <w:p>
      <w:pPr>
        <w:rPr>
          <w:rFonts w:hint="eastAsia" w:ascii="宋体" w:hAnsi="宋体" w:eastAsia="宋体" w:cs="宋体"/>
          <w:color w:val="000000"/>
          <w:sz w:val="28"/>
          <w:szCs w:val="28"/>
          <w:lang w:eastAsia="zh-CN"/>
        </w:rPr>
      </w:pPr>
      <w:r>
        <w:rPr>
          <w:rFonts w:hint="eastAsia" w:ascii="宋体" w:hAnsi="宋体" w:eastAsia="宋体" w:cs="宋体"/>
          <w:sz w:val="28"/>
          <w:szCs w:val="28"/>
        </w:rPr>
        <w:t xml:space="preserve">  </w:t>
      </w:r>
      <w:r>
        <w:rPr>
          <w:rFonts w:hint="eastAsia" w:ascii="宋体" w:hAnsi="宋体" w:eastAsia="宋体" w:cs="宋体"/>
          <w:color w:val="000000"/>
          <w:sz w:val="28"/>
          <w:szCs w:val="28"/>
          <w:lang w:eastAsia="zh-CN"/>
        </w:rPr>
        <w:t xml:space="preserve">   2、本报告仅供</w:t>
      </w:r>
      <w:r>
        <w:rPr>
          <w:rFonts w:hint="eastAsia" w:ascii="宋体" w:hAnsi="宋体" w:cs="宋体"/>
          <w:color w:val="000000"/>
          <w:sz w:val="28"/>
          <w:szCs w:val="28"/>
          <w:lang w:val="en-US" w:eastAsia="zh-CN"/>
        </w:rPr>
        <w:t>2021年度云溪区自然资源综合性项目</w:t>
      </w:r>
      <w:r>
        <w:rPr>
          <w:rFonts w:hint="eastAsia" w:ascii="宋体" w:hAnsi="宋体" w:eastAsia="宋体" w:cs="宋体"/>
          <w:color w:val="000000"/>
          <w:sz w:val="28"/>
          <w:szCs w:val="28"/>
          <w:lang w:eastAsia="zh-CN"/>
        </w:rPr>
        <w:t>绩效评价评分表提供的绩效评价依据，不能作为其他用途。</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以上因使用不当造成任何后果与本报告执业注册会计师及本事务所无关。</w:t>
      </w:r>
    </w:p>
    <w:p>
      <w:pPr>
        <w:spacing w:line="300" w:lineRule="auto"/>
        <w:rPr>
          <w:rFonts w:hint="eastAsia" w:asciiTheme="minorEastAsia" w:hAnsiTheme="minorEastAsia" w:eastAsiaTheme="minorEastAsia" w:cstheme="minorEastAsia"/>
          <w:sz w:val="28"/>
          <w:szCs w:val="28"/>
        </w:rPr>
      </w:pPr>
    </w:p>
    <w:p>
      <w:pPr>
        <w:spacing w:line="300" w:lineRule="auto"/>
        <w:ind w:firstLine="560" w:firstLineChars="200"/>
        <w:rPr>
          <w:rFonts w:hint="eastAsia" w:asciiTheme="minorEastAsia" w:hAnsiTheme="minorEastAsia" w:eastAsiaTheme="minorEastAsia" w:cstheme="minorEastAsia"/>
          <w:sz w:val="28"/>
          <w:szCs w:val="28"/>
        </w:rPr>
      </w:pPr>
    </w:p>
    <w:p>
      <w:pPr>
        <w:spacing w:line="30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2021年度云溪区自然资源综合性项目绩效评价指标体系</w:t>
      </w:r>
      <w:r>
        <w:rPr>
          <w:rFonts w:hint="eastAsia" w:asciiTheme="minorEastAsia" w:hAnsiTheme="minorEastAsia" w:eastAsiaTheme="minorEastAsia" w:cstheme="minorEastAsia"/>
          <w:sz w:val="28"/>
          <w:szCs w:val="28"/>
          <w:highlight w:val="none"/>
        </w:rPr>
        <w:t>》</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2021年度云溪区自然资源综合性项目绩效评分表</w:t>
      </w:r>
      <w:r>
        <w:rPr>
          <w:rFonts w:hint="eastAsia" w:asciiTheme="minorEastAsia" w:hAnsiTheme="minorEastAsia" w:eastAsiaTheme="minorEastAsia" w:cstheme="minorEastAsia"/>
          <w:sz w:val="28"/>
          <w:szCs w:val="28"/>
          <w:highlight w:val="none"/>
        </w:rPr>
        <w:t>》</w:t>
      </w:r>
    </w:p>
    <w:p>
      <w:pPr>
        <w:pStyle w:val="35"/>
        <w:ind w:firstLine="560"/>
        <w:rPr>
          <w:rFonts w:hint="default"/>
          <w:lang w:val="en-US" w:eastAsia="zh-CN"/>
        </w:rPr>
      </w:pPr>
    </w:p>
    <w:p>
      <w:pPr>
        <w:pStyle w:val="35"/>
        <w:ind w:firstLine="560"/>
        <w:rPr>
          <w:rFonts w:hint="default"/>
          <w:lang w:val="en-US" w:eastAsia="zh-CN"/>
        </w:rPr>
      </w:pPr>
    </w:p>
    <w:p>
      <w:pPr>
        <w:pStyle w:val="35"/>
        <w:ind w:firstLine="56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ind w:firstLine="4480" w:firstLineChars="16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 xml:space="preserve">湖南公众会计师事务所有限公司      </w:t>
      </w:r>
    </w:p>
    <w:p>
      <w:pPr>
        <w:rPr>
          <w:rFonts w:hint="default" w:ascii="宋体" w:hAnsi="宋体" w:eastAsia="宋体" w:cs="宋体"/>
          <w:b w:val="0"/>
          <w:bCs w:val="0"/>
          <w:kern w:val="2"/>
          <w:sz w:val="28"/>
          <w:szCs w:val="28"/>
          <w:highlight w:val="none"/>
          <w:lang w:val="en-US" w:eastAsia="zh-CN" w:bidi="ar-SA"/>
        </w:rPr>
      </w:pPr>
      <w:r>
        <w:rPr>
          <w:rFonts w:hint="eastAsia" w:asciiTheme="minorEastAsia" w:hAnsiTheme="minorEastAsia" w:eastAsiaTheme="minorEastAsia" w:cstheme="minorEastAsia"/>
          <w:b/>
          <w:color w:val="000000"/>
          <w:kern w:val="0"/>
          <w:sz w:val="28"/>
          <w:szCs w:val="28"/>
          <w:lang w:val="en-US" w:eastAsia="zh-CN"/>
        </w:rPr>
        <w:t xml:space="preserve">                              </w:t>
      </w:r>
      <w:r>
        <w:rPr>
          <w:rFonts w:hint="eastAsia" w:ascii="宋体" w:hAnsi="宋体" w:eastAsia="宋体" w:cs="宋体"/>
          <w:b w:val="0"/>
          <w:bCs w:val="0"/>
          <w:kern w:val="2"/>
          <w:sz w:val="28"/>
          <w:szCs w:val="28"/>
          <w:highlight w:val="none"/>
          <w:lang w:val="en-US" w:eastAsia="zh-CN" w:bidi="ar-SA"/>
        </w:rPr>
        <w:t xml:space="preserve">      202</w:t>
      </w:r>
      <w:r>
        <w:rPr>
          <w:rFonts w:hint="eastAsia" w:ascii="宋体" w:hAnsi="宋体" w:cs="宋体"/>
          <w:b w:val="0"/>
          <w:bCs w:val="0"/>
          <w:kern w:val="2"/>
          <w:sz w:val="28"/>
          <w:szCs w:val="28"/>
          <w:highlight w:val="none"/>
          <w:lang w:val="en-US" w:eastAsia="zh-CN" w:bidi="ar-SA"/>
        </w:rPr>
        <w:t>3</w:t>
      </w:r>
      <w:r>
        <w:rPr>
          <w:rFonts w:hint="eastAsia" w:ascii="宋体" w:hAnsi="宋体" w:eastAsia="宋体" w:cs="宋体"/>
          <w:b w:val="0"/>
          <w:bCs w:val="0"/>
          <w:kern w:val="2"/>
          <w:sz w:val="28"/>
          <w:szCs w:val="28"/>
          <w:highlight w:val="none"/>
          <w:lang w:val="en-US" w:eastAsia="zh-CN" w:bidi="ar-SA"/>
        </w:rPr>
        <w:t>年</w:t>
      </w:r>
      <w:r>
        <w:rPr>
          <w:rFonts w:hint="eastAsia" w:ascii="宋体" w:hAnsi="宋体" w:cs="宋体"/>
          <w:b w:val="0"/>
          <w:bCs w:val="0"/>
          <w:kern w:val="2"/>
          <w:sz w:val="28"/>
          <w:szCs w:val="28"/>
          <w:highlight w:val="none"/>
          <w:lang w:val="en-US" w:eastAsia="zh-CN" w:bidi="ar-SA"/>
        </w:rPr>
        <w:t>9</w:t>
      </w:r>
      <w:r>
        <w:rPr>
          <w:rFonts w:hint="eastAsia" w:ascii="宋体" w:hAnsi="宋体" w:eastAsia="宋体" w:cs="宋体"/>
          <w:b w:val="0"/>
          <w:bCs w:val="0"/>
          <w:kern w:val="2"/>
          <w:sz w:val="28"/>
          <w:szCs w:val="28"/>
          <w:highlight w:val="none"/>
          <w:lang w:val="en-US" w:eastAsia="zh-CN" w:bidi="ar-SA"/>
        </w:rPr>
        <w:t>月</w:t>
      </w:r>
      <w:r>
        <w:rPr>
          <w:rFonts w:hint="eastAsia" w:ascii="宋体" w:hAnsi="宋体" w:cs="宋体"/>
          <w:b w:val="0"/>
          <w:bCs w:val="0"/>
          <w:kern w:val="2"/>
          <w:sz w:val="28"/>
          <w:szCs w:val="28"/>
          <w:highlight w:val="none"/>
          <w:lang w:val="en-US" w:eastAsia="zh-CN" w:bidi="ar-SA"/>
        </w:rPr>
        <w:t>5</w:t>
      </w:r>
      <w:r>
        <w:rPr>
          <w:rFonts w:hint="eastAsia" w:ascii="宋体" w:hAnsi="宋体" w:eastAsia="宋体" w:cs="宋体"/>
          <w:b w:val="0"/>
          <w:bCs w:val="0"/>
          <w:kern w:val="2"/>
          <w:sz w:val="28"/>
          <w:szCs w:val="28"/>
          <w:highlight w:val="none"/>
          <w:lang w:val="en-US" w:eastAsia="zh-CN" w:bidi="ar-SA"/>
        </w:rPr>
        <w:t>日</w:t>
      </w:r>
    </w:p>
    <w:sectPr>
      <w:footerReference r:id="rId8" w:type="first"/>
      <w:headerReference r:id="rId6" w:type="default"/>
      <w:footerReference r:id="rId7" w:type="default"/>
      <w:pgSz w:w="11906" w:h="16838"/>
      <w:pgMar w:top="1440" w:right="1644" w:bottom="1247" w:left="164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b/>
        <w:bCs/>
      </w:rPr>
      <w:t xml:space="preserve">  </w:t>
    </w:r>
    <w:r>
      <w:rPr>
        <w:rFonts w:hint="eastAsia" w:eastAsia="仿宋"/>
        <w:b/>
        <w:bCs/>
      </w:rPr>
      <w:t xml:space="preserve">湖 南 </w:t>
    </w:r>
    <w:r>
      <w:rPr>
        <w:rFonts w:hint="eastAsia" w:eastAsia="仿宋"/>
        <w:b/>
        <w:bCs/>
        <w:lang w:val="en-US" w:eastAsia="zh-CN"/>
      </w:rPr>
      <w:t>公 众 会 计 师 事 务 所 有 限 公 司</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right"/>
                          </w:pPr>
                          <w:r>
                            <w:rPr>
                              <w:rFonts w:hint="eastAsia"/>
                              <w:b/>
                              <w:bCs/>
                            </w:rPr>
                            <w:t xml:space="preserve">                </w:t>
                          </w:r>
                          <w:r>
                            <w:rPr>
                              <w:rFonts w:hint="eastAsia" w:eastAsia="仿宋"/>
                              <w:b/>
                              <w:bCs/>
                            </w:rPr>
                            <w:t>湖 南 恒 兴 联 合 会 计 师 事 务 所</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1"/>
                      <w:jc w:val="right"/>
                    </w:pPr>
                    <w:r>
                      <w:rPr>
                        <w:rFonts w:hint="eastAsia"/>
                        <w:b/>
                        <w:bCs/>
                      </w:rPr>
                      <w:t xml:space="preserve">                </w:t>
                    </w:r>
                    <w:r>
                      <w:rPr>
                        <w:rFonts w:hint="eastAsia" w:eastAsia="仿宋"/>
                        <w:b/>
                        <w:bCs/>
                      </w:rPr>
                      <w:t>湖 南 恒 兴 联 合 会 计 师 事 务 所</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right"/>
      <w:rPr>
        <w:rFonts w:hint="eastAsia" w:ascii="楷体" w:hAnsi="楷体" w:eastAsia="楷体" w:cs="楷体"/>
        <w:b/>
      </w:rPr>
    </w:pPr>
    <w:r>
      <w:rPr>
        <w:rFonts w:hint="eastAsia" w:ascii="楷体" w:hAnsi="楷体" w:eastAsia="楷体" w:cs="楷体"/>
        <w:b/>
      </w:rPr>
      <w:t xml:space="preserve">                                       岳阳市</w:t>
    </w:r>
    <w:r>
      <w:rPr>
        <w:rFonts w:hint="eastAsia" w:ascii="楷体" w:hAnsi="楷体" w:eastAsia="楷体" w:cs="楷体"/>
        <w:b/>
        <w:lang w:eastAsia="zh-CN"/>
      </w:rPr>
      <w:t>湘阴县扶贫办前期工作经费专项支出项目</w:t>
    </w:r>
    <w:r>
      <w:rPr>
        <w:rFonts w:hint="eastAsia" w:ascii="楷体" w:hAnsi="楷体" w:eastAsia="楷体" w:cs="楷体"/>
        <w:b/>
      </w:rPr>
      <w:t>绩效评价报告书</w:t>
    </w:r>
  </w:p>
  <w:p>
    <w:pPr>
      <w:pStyle w:val="22"/>
      <w:pBdr>
        <w:bottom w:val="none" w:color="auto" w:sz="0" w:space="0"/>
      </w:pBdr>
    </w:pPr>
  </w:p>
  <w:p>
    <w:pPr>
      <w:pStyle w:val="22"/>
      <w:pBdr>
        <w:bottom w:val="none" w:color="auto" w:sz="0" w:space="0"/>
      </w:pBd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right="360"/>
      <w:rPr>
        <w:rFonts w:hint="eastAsia" w:ascii="楷体" w:hAnsi="楷体" w:eastAsia="楷体" w:cs="楷体"/>
        <w:b/>
      </w:rPr>
    </w:pPr>
    <w:r>
      <w:rPr>
        <w:rFonts w:hint="eastAsia" w:ascii="楷体" w:hAnsi="楷体" w:eastAsia="楷体" w:cs="楷体"/>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right"/>
      <w:rPr>
        <w:rFonts w:hint="eastAsia" w:ascii="楷体" w:hAnsi="楷体" w:eastAsia="楷体" w:cs="楷体"/>
        <w:b/>
      </w:rPr>
    </w:pPr>
    <w:r>
      <w:rPr>
        <w:rFonts w:hint="eastAsia" w:ascii="楷体" w:hAnsi="楷体" w:eastAsia="楷体" w:cs="楷体"/>
        <w:b/>
      </w:rPr>
      <w:t xml:space="preserve">                          </w:t>
    </w:r>
    <w:r>
      <w:rPr>
        <w:rFonts w:hint="eastAsia" w:ascii="楷体" w:hAnsi="楷体" w:eastAsia="楷体" w:cs="楷体"/>
        <w:b/>
        <w:lang w:eastAsia="zh-CN"/>
      </w:rPr>
      <w:t xml:space="preserve">  </w:t>
    </w:r>
    <w:r>
      <w:rPr>
        <w:rFonts w:hint="eastAsia" w:ascii="楷体" w:hAnsi="楷体" w:eastAsia="楷体" w:cs="楷体"/>
        <w:b/>
        <w:lang w:val="en-US" w:eastAsia="zh-CN"/>
      </w:rPr>
      <w:t>2021年度云溪区自然资源综合性项目</w:t>
    </w:r>
    <w:r>
      <w:rPr>
        <w:rFonts w:hint="eastAsia" w:ascii="楷体" w:hAnsi="楷体" w:eastAsia="楷体" w:cs="楷体"/>
        <w:b/>
      </w:rPr>
      <w:t>绩效评价报告书</w:t>
    </w:r>
  </w:p>
  <w:p>
    <w:pPr>
      <w:pStyle w:val="22"/>
      <w:pBdr>
        <w:bottom w:val="none" w:color="auto" w:sz="0" w:space="0"/>
      </w:pBdr>
    </w:pPr>
  </w:p>
  <w:p>
    <w:pPr>
      <w:pStyle w:val="22"/>
      <w:pBdr>
        <w:bottom w:val="none" w:color="auto" w:sz="0" w:space="0"/>
      </w:pBd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4254B"/>
    <w:multiLevelType w:val="multilevel"/>
    <w:tmpl w:val="1F44254B"/>
    <w:lvl w:ilvl="0" w:tentative="0">
      <w:start w:val="2"/>
      <w:numFmt w:val="decimal"/>
      <w:pStyle w:val="5"/>
      <w:lvlText w:val="%1"/>
      <w:lvlJc w:val="left"/>
      <w:pPr>
        <w:tabs>
          <w:tab w:val="left" w:pos="1282"/>
        </w:tabs>
        <w:ind w:left="1282" w:hanging="432"/>
      </w:pPr>
      <w:rPr>
        <w:rFonts w:hint="eastAsia"/>
      </w:rPr>
    </w:lvl>
    <w:lvl w:ilvl="1" w:tentative="0">
      <w:start w:val="1"/>
      <w:numFmt w:val="decimal"/>
      <w:pStyle w:val="6"/>
      <w:lvlText w:val="%2"/>
      <w:lvlJc w:val="left"/>
      <w:pPr>
        <w:tabs>
          <w:tab w:val="left" w:pos="1426"/>
        </w:tabs>
        <w:ind w:left="1426" w:hanging="576"/>
      </w:pPr>
      <w:rPr>
        <w:rFonts w:ascii="Times New Roman" w:hAnsi="Times New Roman" w:eastAsia="Times New Roman" w:cs="Times New Roman"/>
      </w:rPr>
    </w:lvl>
    <w:lvl w:ilvl="2" w:tentative="0">
      <w:start w:val="1"/>
      <w:numFmt w:val="decimal"/>
      <w:pStyle w:val="7"/>
      <w:lvlText w:val="%1.%2.%3"/>
      <w:lvlJc w:val="left"/>
      <w:pPr>
        <w:tabs>
          <w:tab w:val="left" w:pos="1570"/>
        </w:tabs>
        <w:ind w:left="1570" w:hanging="720"/>
      </w:pPr>
      <w:rPr>
        <w:rFonts w:hint="eastAsia"/>
      </w:rPr>
    </w:lvl>
    <w:lvl w:ilvl="3" w:tentative="0">
      <w:start w:val="1"/>
      <w:numFmt w:val="decimal"/>
      <w:pStyle w:val="8"/>
      <w:lvlText w:val="%1.%2.%3.%4"/>
      <w:lvlJc w:val="left"/>
      <w:pPr>
        <w:tabs>
          <w:tab w:val="left" w:pos="1714"/>
        </w:tabs>
        <w:ind w:left="1714" w:hanging="864"/>
      </w:pPr>
      <w:rPr>
        <w:rFonts w:hint="eastAsia"/>
      </w:rPr>
    </w:lvl>
    <w:lvl w:ilvl="4" w:tentative="0">
      <w:start w:val="1"/>
      <w:numFmt w:val="decimal"/>
      <w:pStyle w:val="9"/>
      <w:lvlText w:val="%1.%2.%3.%4.%5"/>
      <w:lvlJc w:val="left"/>
      <w:pPr>
        <w:tabs>
          <w:tab w:val="left" w:pos="1858"/>
        </w:tabs>
        <w:ind w:left="1858" w:hanging="1008"/>
      </w:pPr>
      <w:rPr>
        <w:rFonts w:hint="eastAsia"/>
      </w:rPr>
    </w:lvl>
    <w:lvl w:ilvl="5" w:tentative="0">
      <w:start w:val="1"/>
      <w:numFmt w:val="decimal"/>
      <w:pStyle w:val="10"/>
      <w:isLgl/>
      <w:lvlText w:val="%1.%2.%3.%4.%5.%6"/>
      <w:lvlJc w:val="left"/>
      <w:pPr>
        <w:tabs>
          <w:tab w:val="left" w:pos="2002"/>
        </w:tabs>
        <w:ind w:left="2002" w:hanging="1152"/>
      </w:pPr>
      <w:rPr>
        <w:rFonts w:hint="eastAsia"/>
      </w:rPr>
    </w:lvl>
    <w:lvl w:ilvl="6" w:tentative="0">
      <w:start w:val="1"/>
      <w:numFmt w:val="decimal"/>
      <w:pStyle w:val="11"/>
      <w:lvlText w:val="%1.%2.%3.%4.%5.%6.%7"/>
      <w:lvlJc w:val="left"/>
      <w:pPr>
        <w:tabs>
          <w:tab w:val="left" w:pos="2146"/>
        </w:tabs>
        <w:ind w:left="2146" w:hanging="1296"/>
      </w:pPr>
      <w:rPr>
        <w:rFonts w:hint="eastAsia"/>
      </w:rPr>
    </w:lvl>
    <w:lvl w:ilvl="7" w:tentative="0">
      <w:start w:val="1"/>
      <w:numFmt w:val="decimal"/>
      <w:pStyle w:val="12"/>
      <w:lvlText w:val="%1.%2.%3.%4.%5.%6.%7.%8"/>
      <w:lvlJc w:val="left"/>
      <w:pPr>
        <w:tabs>
          <w:tab w:val="left" w:pos="2290"/>
        </w:tabs>
        <w:ind w:left="2290" w:hanging="1440"/>
      </w:pPr>
      <w:rPr>
        <w:rFonts w:hint="eastAsia"/>
      </w:rPr>
    </w:lvl>
    <w:lvl w:ilvl="8" w:tentative="0">
      <w:start w:val="1"/>
      <w:numFmt w:val="decimal"/>
      <w:pStyle w:val="13"/>
      <w:lvlText w:val="%1.%2.%3.%4.%5.%6.%7.%8.%9"/>
      <w:lvlJc w:val="left"/>
      <w:pPr>
        <w:tabs>
          <w:tab w:val="left" w:pos="2434"/>
        </w:tabs>
        <w:ind w:left="2434" w:hanging="1584"/>
      </w:pPr>
      <w:rPr>
        <w:rFonts w:hint="eastAsia"/>
      </w:rPr>
    </w:lvl>
  </w:abstractNum>
  <w:abstractNum w:abstractNumId="1">
    <w:nsid w:val="7E050B2D"/>
    <w:multiLevelType w:val="singleLevel"/>
    <w:tmpl w:val="7E050B2D"/>
    <w:lvl w:ilvl="0" w:tentative="0">
      <w:start w:val="2"/>
      <w:numFmt w:val="decimal"/>
      <w:suff w:val="nothing"/>
      <w:lvlText w:val="%1、"/>
      <w:lvlJc w:val="left"/>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MmU3NmE5YmMzZDVhY2ViNzE3Y2E1MjIxYjI5OTAifQ=="/>
  </w:docVars>
  <w:rsids>
    <w:rsidRoot w:val="007E7EF4"/>
    <w:rsid w:val="00001BAD"/>
    <w:rsid w:val="00002DD4"/>
    <w:rsid w:val="000061D5"/>
    <w:rsid w:val="00014334"/>
    <w:rsid w:val="000147E3"/>
    <w:rsid w:val="000151F4"/>
    <w:rsid w:val="00015653"/>
    <w:rsid w:val="0001616A"/>
    <w:rsid w:val="00016D4D"/>
    <w:rsid w:val="00017C53"/>
    <w:rsid w:val="00020C6B"/>
    <w:rsid w:val="00027D64"/>
    <w:rsid w:val="00030D88"/>
    <w:rsid w:val="00031596"/>
    <w:rsid w:val="0003454F"/>
    <w:rsid w:val="00036DED"/>
    <w:rsid w:val="00040F19"/>
    <w:rsid w:val="00042217"/>
    <w:rsid w:val="00042297"/>
    <w:rsid w:val="00043444"/>
    <w:rsid w:val="0004445F"/>
    <w:rsid w:val="000451C3"/>
    <w:rsid w:val="00052F5B"/>
    <w:rsid w:val="0005325E"/>
    <w:rsid w:val="00054F53"/>
    <w:rsid w:val="000601D9"/>
    <w:rsid w:val="0006024F"/>
    <w:rsid w:val="00060A3F"/>
    <w:rsid w:val="00063E36"/>
    <w:rsid w:val="00064CFE"/>
    <w:rsid w:val="00065042"/>
    <w:rsid w:val="000676E1"/>
    <w:rsid w:val="000719AB"/>
    <w:rsid w:val="00072A52"/>
    <w:rsid w:val="00072DBD"/>
    <w:rsid w:val="000736A5"/>
    <w:rsid w:val="00074978"/>
    <w:rsid w:val="000754E9"/>
    <w:rsid w:val="000778D0"/>
    <w:rsid w:val="00077D3E"/>
    <w:rsid w:val="00083D09"/>
    <w:rsid w:val="00083F35"/>
    <w:rsid w:val="00084EBA"/>
    <w:rsid w:val="00085369"/>
    <w:rsid w:val="00087680"/>
    <w:rsid w:val="00090B0B"/>
    <w:rsid w:val="00091E62"/>
    <w:rsid w:val="00095994"/>
    <w:rsid w:val="00095B6D"/>
    <w:rsid w:val="000A0066"/>
    <w:rsid w:val="000A0B91"/>
    <w:rsid w:val="000A12C9"/>
    <w:rsid w:val="000A20CF"/>
    <w:rsid w:val="000A2820"/>
    <w:rsid w:val="000A49CB"/>
    <w:rsid w:val="000A5245"/>
    <w:rsid w:val="000A7ED2"/>
    <w:rsid w:val="000B244E"/>
    <w:rsid w:val="000B25B0"/>
    <w:rsid w:val="000B4F32"/>
    <w:rsid w:val="000B66CF"/>
    <w:rsid w:val="000C0761"/>
    <w:rsid w:val="000C5D38"/>
    <w:rsid w:val="000C6808"/>
    <w:rsid w:val="000C74F8"/>
    <w:rsid w:val="000D408B"/>
    <w:rsid w:val="000D4AC5"/>
    <w:rsid w:val="000D4B6D"/>
    <w:rsid w:val="000D5676"/>
    <w:rsid w:val="000D6B91"/>
    <w:rsid w:val="000E0157"/>
    <w:rsid w:val="000E1BB8"/>
    <w:rsid w:val="000E2663"/>
    <w:rsid w:val="000E26AD"/>
    <w:rsid w:val="000E3503"/>
    <w:rsid w:val="000E36B6"/>
    <w:rsid w:val="000E4D57"/>
    <w:rsid w:val="000E65BF"/>
    <w:rsid w:val="000F4F7F"/>
    <w:rsid w:val="000F768C"/>
    <w:rsid w:val="000F7FCD"/>
    <w:rsid w:val="00101D97"/>
    <w:rsid w:val="00102774"/>
    <w:rsid w:val="001116C7"/>
    <w:rsid w:val="00111AA7"/>
    <w:rsid w:val="00113671"/>
    <w:rsid w:val="00114E83"/>
    <w:rsid w:val="00117206"/>
    <w:rsid w:val="001179BA"/>
    <w:rsid w:val="001238C5"/>
    <w:rsid w:val="00123BAA"/>
    <w:rsid w:val="001247BA"/>
    <w:rsid w:val="001249FB"/>
    <w:rsid w:val="00124CF2"/>
    <w:rsid w:val="00124FA6"/>
    <w:rsid w:val="00126A28"/>
    <w:rsid w:val="00130473"/>
    <w:rsid w:val="00134047"/>
    <w:rsid w:val="0013468E"/>
    <w:rsid w:val="001347E6"/>
    <w:rsid w:val="001351A7"/>
    <w:rsid w:val="00135587"/>
    <w:rsid w:val="001359EC"/>
    <w:rsid w:val="00135D15"/>
    <w:rsid w:val="0013658E"/>
    <w:rsid w:val="001402A6"/>
    <w:rsid w:val="00143293"/>
    <w:rsid w:val="00144354"/>
    <w:rsid w:val="00150D7C"/>
    <w:rsid w:val="00151A1C"/>
    <w:rsid w:val="00161589"/>
    <w:rsid w:val="00161A69"/>
    <w:rsid w:val="001650C6"/>
    <w:rsid w:val="00166DC6"/>
    <w:rsid w:val="00174AB0"/>
    <w:rsid w:val="001830FA"/>
    <w:rsid w:val="00185A13"/>
    <w:rsid w:val="00185E10"/>
    <w:rsid w:val="00186338"/>
    <w:rsid w:val="00190E19"/>
    <w:rsid w:val="00194128"/>
    <w:rsid w:val="00195428"/>
    <w:rsid w:val="00195C89"/>
    <w:rsid w:val="00195FA3"/>
    <w:rsid w:val="00196C53"/>
    <w:rsid w:val="00197865"/>
    <w:rsid w:val="001A31B9"/>
    <w:rsid w:val="001A4269"/>
    <w:rsid w:val="001A44F4"/>
    <w:rsid w:val="001A45C6"/>
    <w:rsid w:val="001A4E86"/>
    <w:rsid w:val="001A6CD0"/>
    <w:rsid w:val="001B11C3"/>
    <w:rsid w:val="001B121A"/>
    <w:rsid w:val="001B16D8"/>
    <w:rsid w:val="001B4858"/>
    <w:rsid w:val="001C0537"/>
    <w:rsid w:val="001C255F"/>
    <w:rsid w:val="001C3D2E"/>
    <w:rsid w:val="001C53CA"/>
    <w:rsid w:val="001C7E4E"/>
    <w:rsid w:val="001D004C"/>
    <w:rsid w:val="001D2B9F"/>
    <w:rsid w:val="001D5DF3"/>
    <w:rsid w:val="001D7558"/>
    <w:rsid w:val="001E1C3B"/>
    <w:rsid w:val="001E2C7B"/>
    <w:rsid w:val="001E3282"/>
    <w:rsid w:val="001E4920"/>
    <w:rsid w:val="001F060C"/>
    <w:rsid w:val="001F0BD4"/>
    <w:rsid w:val="001F2519"/>
    <w:rsid w:val="001F43C4"/>
    <w:rsid w:val="00205E83"/>
    <w:rsid w:val="00212494"/>
    <w:rsid w:val="0021466E"/>
    <w:rsid w:val="00214CA0"/>
    <w:rsid w:val="0021508F"/>
    <w:rsid w:val="00216545"/>
    <w:rsid w:val="002241B3"/>
    <w:rsid w:val="0022679A"/>
    <w:rsid w:val="00226B1C"/>
    <w:rsid w:val="0023056B"/>
    <w:rsid w:val="00230688"/>
    <w:rsid w:val="002312B9"/>
    <w:rsid w:val="0023131C"/>
    <w:rsid w:val="0023705F"/>
    <w:rsid w:val="00240A68"/>
    <w:rsid w:val="002420EF"/>
    <w:rsid w:val="00242E01"/>
    <w:rsid w:val="00251BF2"/>
    <w:rsid w:val="00252FAB"/>
    <w:rsid w:val="00254EBC"/>
    <w:rsid w:val="00255562"/>
    <w:rsid w:val="00260FDC"/>
    <w:rsid w:val="002613CA"/>
    <w:rsid w:val="002614FE"/>
    <w:rsid w:val="00262111"/>
    <w:rsid w:val="0026292E"/>
    <w:rsid w:val="00264E02"/>
    <w:rsid w:val="00266F31"/>
    <w:rsid w:val="00267091"/>
    <w:rsid w:val="002708BA"/>
    <w:rsid w:val="00270B2A"/>
    <w:rsid w:val="00272D94"/>
    <w:rsid w:val="0028464C"/>
    <w:rsid w:val="00284A29"/>
    <w:rsid w:val="00286A5E"/>
    <w:rsid w:val="002905B6"/>
    <w:rsid w:val="00290B1B"/>
    <w:rsid w:val="00290E2C"/>
    <w:rsid w:val="0029121B"/>
    <w:rsid w:val="00291F2F"/>
    <w:rsid w:val="00295562"/>
    <w:rsid w:val="00296C9D"/>
    <w:rsid w:val="00297773"/>
    <w:rsid w:val="002A03FD"/>
    <w:rsid w:val="002A1E8B"/>
    <w:rsid w:val="002A312E"/>
    <w:rsid w:val="002B1906"/>
    <w:rsid w:val="002B2778"/>
    <w:rsid w:val="002B462E"/>
    <w:rsid w:val="002B5197"/>
    <w:rsid w:val="002B5211"/>
    <w:rsid w:val="002B5EC8"/>
    <w:rsid w:val="002B6001"/>
    <w:rsid w:val="002B61E2"/>
    <w:rsid w:val="002B7E7E"/>
    <w:rsid w:val="002C030D"/>
    <w:rsid w:val="002C2728"/>
    <w:rsid w:val="002C3CE5"/>
    <w:rsid w:val="002C70A5"/>
    <w:rsid w:val="002C77AC"/>
    <w:rsid w:val="002D0239"/>
    <w:rsid w:val="002D1F1B"/>
    <w:rsid w:val="002D2AAD"/>
    <w:rsid w:val="002D3867"/>
    <w:rsid w:val="002D4271"/>
    <w:rsid w:val="002D4881"/>
    <w:rsid w:val="002D4F36"/>
    <w:rsid w:val="002D7D48"/>
    <w:rsid w:val="002E017E"/>
    <w:rsid w:val="002E44E3"/>
    <w:rsid w:val="002E4D2D"/>
    <w:rsid w:val="002E5BA1"/>
    <w:rsid w:val="002E6134"/>
    <w:rsid w:val="002F009F"/>
    <w:rsid w:val="002F362D"/>
    <w:rsid w:val="002F3A1F"/>
    <w:rsid w:val="002F3DDB"/>
    <w:rsid w:val="002F4045"/>
    <w:rsid w:val="002F6539"/>
    <w:rsid w:val="002F75AF"/>
    <w:rsid w:val="00300F25"/>
    <w:rsid w:val="003018D7"/>
    <w:rsid w:val="0030374E"/>
    <w:rsid w:val="00303AE3"/>
    <w:rsid w:val="00305058"/>
    <w:rsid w:val="00306D0B"/>
    <w:rsid w:val="00310019"/>
    <w:rsid w:val="00310245"/>
    <w:rsid w:val="003102A8"/>
    <w:rsid w:val="00312E58"/>
    <w:rsid w:val="00313AC0"/>
    <w:rsid w:val="00314EF2"/>
    <w:rsid w:val="00323C7A"/>
    <w:rsid w:val="0032454A"/>
    <w:rsid w:val="00334AD5"/>
    <w:rsid w:val="0033567F"/>
    <w:rsid w:val="00335853"/>
    <w:rsid w:val="003412B1"/>
    <w:rsid w:val="0034156D"/>
    <w:rsid w:val="00342C9D"/>
    <w:rsid w:val="00346453"/>
    <w:rsid w:val="0034781A"/>
    <w:rsid w:val="00350973"/>
    <w:rsid w:val="00351268"/>
    <w:rsid w:val="0035267C"/>
    <w:rsid w:val="003562DD"/>
    <w:rsid w:val="00356623"/>
    <w:rsid w:val="00361B3B"/>
    <w:rsid w:val="00364651"/>
    <w:rsid w:val="00367DE7"/>
    <w:rsid w:val="0037056E"/>
    <w:rsid w:val="00370AD1"/>
    <w:rsid w:val="003718E3"/>
    <w:rsid w:val="0037337E"/>
    <w:rsid w:val="0037345A"/>
    <w:rsid w:val="00374E22"/>
    <w:rsid w:val="00375F24"/>
    <w:rsid w:val="003764B7"/>
    <w:rsid w:val="00376B82"/>
    <w:rsid w:val="00377A93"/>
    <w:rsid w:val="00381E81"/>
    <w:rsid w:val="003832D8"/>
    <w:rsid w:val="00384BAC"/>
    <w:rsid w:val="00392417"/>
    <w:rsid w:val="00394F77"/>
    <w:rsid w:val="00397B02"/>
    <w:rsid w:val="00397B18"/>
    <w:rsid w:val="003A021A"/>
    <w:rsid w:val="003A041B"/>
    <w:rsid w:val="003A2E4D"/>
    <w:rsid w:val="003A37F4"/>
    <w:rsid w:val="003A472B"/>
    <w:rsid w:val="003A774B"/>
    <w:rsid w:val="003C0AF9"/>
    <w:rsid w:val="003C1408"/>
    <w:rsid w:val="003C3ADC"/>
    <w:rsid w:val="003C6C53"/>
    <w:rsid w:val="003C7220"/>
    <w:rsid w:val="003D03E6"/>
    <w:rsid w:val="003D1AA0"/>
    <w:rsid w:val="003D1DE6"/>
    <w:rsid w:val="003D33DE"/>
    <w:rsid w:val="003D393F"/>
    <w:rsid w:val="003D3981"/>
    <w:rsid w:val="003D61B7"/>
    <w:rsid w:val="003E2CB1"/>
    <w:rsid w:val="003E4AD2"/>
    <w:rsid w:val="003E5356"/>
    <w:rsid w:val="003E5761"/>
    <w:rsid w:val="003E6053"/>
    <w:rsid w:val="003F01CA"/>
    <w:rsid w:val="003F35BE"/>
    <w:rsid w:val="003F44F3"/>
    <w:rsid w:val="003F6AE8"/>
    <w:rsid w:val="0040060E"/>
    <w:rsid w:val="004008FA"/>
    <w:rsid w:val="00401491"/>
    <w:rsid w:val="00403DAF"/>
    <w:rsid w:val="00407AFC"/>
    <w:rsid w:val="00411875"/>
    <w:rsid w:val="00411CBA"/>
    <w:rsid w:val="0041266E"/>
    <w:rsid w:val="00412ECC"/>
    <w:rsid w:val="00413CCB"/>
    <w:rsid w:val="00414491"/>
    <w:rsid w:val="00415E5C"/>
    <w:rsid w:val="004228EF"/>
    <w:rsid w:val="0042334E"/>
    <w:rsid w:val="0042528E"/>
    <w:rsid w:val="004266B0"/>
    <w:rsid w:val="00427C5F"/>
    <w:rsid w:val="0043028A"/>
    <w:rsid w:val="00430CCA"/>
    <w:rsid w:val="004310A0"/>
    <w:rsid w:val="004310E3"/>
    <w:rsid w:val="00431835"/>
    <w:rsid w:val="004321F7"/>
    <w:rsid w:val="004335F1"/>
    <w:rsid w:val="004349B1"/>
    <w:rsid w:val="00436962"/>
    <w:rsid w:val="00437418"/>
    <w:rsid w:val="00437431"/>
    <w:rsid w:val="00440384"/>
    <w:rsid w:val="00440DE0"/>
    <w:rsid w:val="0044195D"/>
    <w:rsid w:val="00444E83"/>
    <w:rsid w:val="00447AB9"/>
    <w:rsid w:val="00450108"/>
    <w:rsid w:val="0045097D"/>
    <w:rsid w:val="00451A50"/>
    <w:rsid w:val="00452662"/>
    <w:rsid w:val="004559C2"/>
    <w:rsid w:val="00456249"/>
    <w:rsid w:val="0045674E"/>
    <w:rsid w:val="00456F5D"/>
    <w:rsid w:val="00460D68"/>
    <w:rsid w:val="00460E31"/>
    <w:rsid w:val="00466526"/>
    <w:rsid w:val="004731D7"/>
    <w:rsid w:val="004763AF"/>
    <w:rsid w:val="004765AA"/>
    <w:rsid w:val="004768D6"/>
    <w:rsid w:val="0047690D"/>
    <w:rsid w:val="0048138E"/>
    <w:rsid w:val="00483999"/>
    <w:rsid w:val="0048731E"/>
    <w:rsid w:val="00491186"/>
    <w:rsid w:val="004920F4"/>
    <w:rsid w:val="00492B45"/>
    <w:rsid w:val="004A047D"/>
    <w:rsid w:val="004A19E8"/>
    <w:rsid w:val="004A1CA0"/>
    <w:rsid w:val="004A30CA"/>
    <w:rsid w:val="004A3AB5"/>
    <w:rsid w:val="004A3B58"/>
    <w:rsid w:val="004A42CE"/>
    <w:rsid w:val="004B29B2"/>
    <w:rsid w:val="004B3EA3"/>
    <w:rsid w:val="004B55F0"/>
    <w:rsid w:val="004B5EC8"/>
    <w:rsid w:val="004B603D"/>
    <w:rsid w:val="004B6C56"/>
    <w:rsid w:val="004C28DA"/>
    <w:rsid w:val="004C2B53"/>
    <w:rsid w:val="004C5E83"/>
    <w:rsid w:val="004D131F"/>
    <w:rsid w:val="004D2464"/>
    <w:rsid w:val="004E224E"/>
    <w:rsid w:val="004E2BA4"/>
    <w:rsid w:val="004E2C38"/>
    <w:rsid w:val="004E3D79"/>
    <w:rsid w:val="004E484D"/>
    <w:rsid w:val="004F1B2A"/>
    <w:rsid w:val="004F20A1"/>
    <w:rsid w:val="004F28DA"/>
    <w:rsid w:val="004F32C2"/>
    <w:rsid w:val="00501C64"/>
    <w:rsid w:val="00503EFA"/>
    <w:rsid w:val="00505DD0"/>
    <w:rsid w:val="0050613A"/>
    <w:rsid w:val="005109E6"/>
    <w:rsid w:val="00511D0B"/>
    <w:rsid w:val="005130E0"/>
    <w:rsid w:val="00514636"/>
    <w:rsid w:val="005163E4"/>
    <w:rsid w:val="00520B2E"/>
    <w:rsid w:val="00521853"/>
    <w:rsid w:val="00522B73"/>
    <w:rsid w:val="0052472D"/>
    <w:rsid w:val="0052616D"/>
    <w:rsid w:val="0053029D"/>
    <w:rsid w:val="00535446"/>
    <w:rsid w:val="00536D9B"/>
    <w:rsid w:val="00540291"/>
    <w:rsid w:val="00540911"/>
    <w:rsid w:val="00543060"/>
    <w:rsid w:val="00543851"/>
    <w:rsid w:val="00543890"/>
    <w:rsid w:val="005464E6"/>
    <w:rsid w:val="00546639"/>
    <w:rsid w:val="005541BA"/>
    <w:rsid w:val="00554A23"/>
    <w:rsid w:val="00557C71"/>
    <w:rsid w:val="0056561F"/>
    <w:rsid w:val="00567804"/>
    <w:rsid w:val="00574F54"/>
    <w:rsid w:val="00577F98"/>
    <w:rsid w:val="005816D9"/>
    <w:rsid w:val="005917CA"/>
    <w:rsid w:val="00592A06"/>
    <w:rsid w:val="00593540"/>
    <w:rsid w:val="0059541B"/>
    <w:rsid w:val="00595C76"/>
    <w:rsid w:val="005962BF"/>
    <w:rsid w:val="005978A3"/>
    <w:rsid w:val="005A43C8"/>
    <w:rsid w:val="005A5E89"/>
    <w:rsid w:val="005A664B"/>
    <w:rsid w:val="005B11EF"/>
    <w:rsid w:val="005B45B9"/>
    <w:rsid w:val="005B4FC1"/>
    <w:rsid w:val="005B5639"/>
    <w:rsid w:val="005B56FD"/>
    <w:rsid w:val="005B594C"/>
    <w:rsid w:val="005B78F5"/>
    <w:rsid w:val="005C1D29"/>
    <w:rsid w:val="005C1DE1"/>
    <w:rsid w:val="005C242E"/>
    <w:rsid w:val="005C5631"/>
    <w:rsid w:val="005C6146"/>
    <w:rsid w:val="005C6390"/>
    <w:rsid w:val="005C7AE0"/>
    <w:rsid w:val="005D0375"/>
    <w:rsid w:val="005D08F3"/>
    <w:rsid w:val="005D4F4C"/>
    <w:rsid w:val="005D6222"/>
    <w:rsid w:val="005D674E"/>
    <w:rsid w:val="005D6D99"/>
    <w:rsid w:val="005D6FCD"/>
    <w:rsid w:val="005E1405"/>
    <w:rsid w:val="005E1824"/>
    <w:rsid w:val="005E33CC"/>
    <w:rsid w:val="005E498E"/>
    <w:rsid w:val="005E55FF"/>
    <w:rsid w:val="005F190C"/>
    <w:rsid w:val="005F2872"/>
    <w:rsid w:val="005F3C2F"/>
    <w:rsid w:val="005F48DD"/>
    <w:rsid w:val="005F4BD5"/>
    <w:rsid w:val="006002B2"/>
    <w:rsid w:val="00601164"/>
    <w:rsid w:val="006119A3"/>
    <w:rsid w:val="00613579"/>
    <w:rsid w:val="00615657"/>
    <w:rsid w:val="00620155"/>
    <w:rsid w:val="0063691A"/>
    <w:rsid w:val="00637427"/>
    <w:rsid w:val="00644C8F"/>
    <w:rsid w:val="00644E4A"/>
    <w:rsid w:val="006455E7"/>
    <w:rsid w:val="00647186"/>
    <w:rsid w:val="0065138E"/>
    <w:rsid w:val="006525D5"/>
    <w:rsid w:val="00652654"/>
    <w:rsid w:val="00653F24"/>
    <w:rsid w:val="006558AD"/>
    <w:rsid w:val="00656896"/>
    <w:rsid w:val="006574D6"/>
    <w:rsid w:val="006578B7"/>
    <w:rsid w:val="00661E4B"/>
    <w:rsid w:val="006658D9"/>
    <w:rsid w:val="0067309A"/>
    <w:rsid w:val="00673AAC"/>
    <w:rsid w:val="0067640A"/>
    <w:rsid w:val="00676996"/>
    <w:rsid w:val="00676B86"/>
    <w:rsid w:val="006775E4"/>
    <w:rsid w:val="00680415"/>
    <w:rsid w:val="00680BF4"/>
    <w:rsid w:val="006864DF"/>
    <w:rsid w:val="0069154F"/>
    <w:rsid w:val="00691D57"/>
    <w:rsid w:val="00691E60"/>
    <w:rsid w:val="00693363"/>
    <w:rsid w:val="006937FC"/>
    <w:rsid w:val="006969F7"/>
    <w:rsid w:val="006A458D"/>
    <w:rsid w:val="006A5EA4"/>
    <w:rsid w:val="006A7713"/>
    <w:rsid w:val="006A7E2A"/>
    <w:rsid w:val="006B3503"/>
    <w:rsid w:val="006B4076"/>
    <w:rsid w:val="006B48FC"/>
    <w:rsid w:val="006B68C4"/>
    <w:rsid w:val="006C02DB"/>
    <w:rsid w:val="006C326A"/>
    <w:rsid w:val="006C3A1D"/>
    <w:rsid w:val="006C489E"/>
    <w:rsid w:val="006C4DA9"/>
    <w:rsid w:val="006C4FC5"/>
    <w:rsid w:val="006C570A"/>
    <w:rsid w:val="006D6B79"/>
    <w:rsid w:val="006D7829"/>
    <w:rsid w:val="006E30ED"/>
    <w:rsid w:val="006E3982"/>
    <w:rsid w:val="006E44B1"/>
    <w:rsid w:val="006E46B2"/>
    <w:rsid w:val="006E4788"/>
    <w:rsid w:val="006E4A63"/>
    <w:rsid w:val="006E6187"/>
    <w:rsid w:val="006E7F58"/>
    <w:rsid w:val="006F07BF"/>
    <w:rsid w:val="006F07CD"/>
    <w:rsid w:val="006F26C1"/>
    <w:rsid w:val="006F2972"/>
    <w:rsid w:val="006F3F0F"/>
    <w:rsid w:val="006F56F1"/>
    <w:rsid w:val="006F689B"/>
    <w:rsid w:val="007070E8"/>
    <w:rsid w:val="0070749C"/>
    <w:rsid w:val="00711516"/>
    <w:rsid w:val="00711A84"/>
    <w:rsid w:val="0071339C"/>
    <w:rsid w:val="00714E81"/>
    <w:rsid w:val="007171C2"/>
    <w:rsid w:val="007171FF"/>
    <w:rsid w:val="007178A9"/>
    <w:rsid w:val="007178DE"/>
    <w:rsid w:val="0072113D"/>
    <w:rsid w:val="00722435"/>
    <w:rsid w:val="0072281C"/>
    <w:rsid w:val="007234B5"/>
    <w:rsid w:val="0072368F"/>
    <w:rsid w:val="007253E3"/>
    <w:rsid w:val="0072645B"/>
    <w:rsid w:val="00726DC4"/>
    <w:rsid w:val="0073095D"/>
    <w:rsid w:val="00734DED"/>
    <w:rsid w:val="007357D8"/>
    <w:rsid w:val="00737C0C"/>
    <w:rsid w:val="00741A58"/>
    <w:rsid w:val="00742CF1"/>
    <w:rsid w:val="0074412F"/>
    <w:rsid w:val="007449F2"/>
    <w:rsid w:val="007535A1"/>
    <w:rsid w:val="00754171"/>
    <w:rsid w:val="0075438D"/>
    <w:rsid w:val="00756F1A"/>
    <w:rsid w:val="00762AEF"/>
    <w:rsid w:val="00764A0B"/>
    <w:rsid w:val="00765FB0"/>
    <w:rsid w:val="00767936"/>
    <w:rsid w:val="00770F53"/>
    <w:rsid w:val="0077172E"/>
    <w:rsid w:val="007767FC"/>
    <w:rsid w:val="0078032F"/>
    <w:rsid w:val="00780D8A"/>
    <w:rsid w:val="007819D0"/>
    <w:rsid w:val="00784C2E"/>
    <w:rsid w:val="00785EBE"/>
    <w:rsid w:val="0079371C"/>
    <w:rsid w:val="00793BAB"/>
    <w:rsid w:val="00796B0C"/>
    <w:rsid w:val="007A06F5"/>
    <w:rsid w:val="007A0C41"/>
    <w:rsid w:val="007A1515"/>
    <w:rsid w:val="007A21D3"/>
    <w:rsid w:val="007B0D50"/>
    <w:rsid w:val="007B1EB7"/>
    <w:rsid w:val="007B4B6C"/>
    <w:rsid w:val="007B4CD4"/>
    <w:rsid w:val="007B542D"/>
    <w:rsid w:val="007B5DB6"/>
    <w:rsid w:val="007B606E"/>
    <w:rsid w:val="007C2302"/>
    <w:rsid w:val="007C3931"/>
    <w:rsid w:val="007C3C20"/>
    <w:rsid w:val="007C7FCD"/>
    <w:rsid w:val="007D0147"/>
    <w:rsid w:val="007D0FA1"/>
    <w:rsid w:val="007D4B19"/>
    <w:rsid w:val="007D73AB"/>
    <w:rsid w:val="007D792F"/>
    <w:rsid w:val="007D7B20"/>
    <w:rsid w:val="007E011B"/>
    <w:rsid w:val="007E3224"/>
    <w:rsid w:val="007E3AC7"/>
    <w:rsid w:val="007E4D98"/>
    <w:rsid w:val="007E68DF"/>
    <w:rsid w:val="007E7553"/>
    <w:rsid w:val="007E7EF4"/>
    <w:rsid w:val="007F07AA"/>
    <w:rsid w:val="007F46CE"/>
    <w:rsid w:val="007F4CC9"/>
    <w:rsid w:val="007F63EB"/>
    <w:rsid w:val="007F65CB"/>
    <w:rsid w:val="00802352"/>
    <w:rsid w:val="00802491"/>
    <w:rsid w:val="0080379C"/>
    <w:rsid w:val="0080645D"/>
    <w:rsid w:val="00806E85"/>
    <w:rsid w:val="00807A19"/>
    <w:rsid w:val="00813DCB"/>
    <w:rsid w:val="00814890"/>
    <w:rsid w:val="00816A7E"/>
    <w:rsid w:val="0082537A"/>
    <w:rsid w:val="008264C4"/>
    <w:rsid w:val="008303AD"/>
    <w:rsid w:val="0083216E"/>
    <w:rsid w:val="008431DD"/>
    <w:rsid w:val="00843585"/>
    <w:rsid w:val="0084473F"/>
    <w:rsid w:val="008476B0"/>
    <w:rsid w:val="00850429"/>
    <w:rsid w:val="008506F1"/>
    <w:rsid w:val="0085160A"/>
    <w:rsid w:val="00852202"/>
    <w:rsid w:val="008526D2"/>
    <w:rsid w:val="00852F4C"/>
    <w:rsid w:val="00853F64"/>
    <w:rsid w:val="00854107"/>
    <w:rsid w:val="008545B2"/>
    <w:rsid w:val="008578D9"/>
    <w:rsid w:val="0086063D"/>
    <w:rsid w:val="008607BB"/>
    <w:rsid w:val="00862303"/>
    <w:rsid w:val="0086245F"/>
    <w:rsid w:val="00862BED"/>
    <w:rsid w:val="00864376"/>
    <w:rsid w:val="008655B9"/>
    <w:rsid w:val="0087549B"/>
    <w:rsid w:val="00877636"/>
    <w:rsid w:val="00880AD2"/>
    <w:rsid w:val="00882153"/>
    <w:rsid w:val="008846AA"/>
    <w:rsid w:val="00886486"/>
    <w:rsid w:val="0089292F"/>
    <w:rsid w:val="00895BAF"/>
    <w:rsid w:val="00897D90"/>
    <w:rsid w:val="008A0DE7"/>
    <w:rsid w:val="008A1CB8"/>
    <w:rsid w:val="008A2D37"/>
    <w:rsid w:val="008A3A7C"/>
    <w:rsid w:val="008A3FDB"/>
    <w:rsid w:val="008A53CE"/>
    <w:rsid w:val="008A7862"/>
    <w:rsid w:val="008B17C8"/>
    <w:rsid w:val="008B710F"/>
    <w:rsid w:val="008C0890"/>
    <w:rsid w:val="008C39F2"/>
    <w:rsid w:val="008C64C5"/>
    <w:rsid w:val="008C6719"/>
    <w:rsid w:val="008C72E9"/>
    <w:rsid w:val="008C7A03"/>
    <w:rsid w:val="008D1006"/>
    <w:rsid w:val="008D506D"/>
    <w:rsid w:val="008D5E3B"/>
    <w:rsid w:val="008D67AF"/>
    <w:rsid w:val="008E03E5"/>
    <w:rsid w:val="008E0C43"/>
    <w:rsid w:val="008E141A"/>
    <w:rsid w:val="008E2454"/>
    <w:rsid w:val="008E4EF4"/>
    <w:rsid w:val="008E53CE"/>
    <w:rsid w:val="008F01EC"/>
    <w:rsid w:val="008F3384"/>
    <w:rsid w:val="008F53D7"/>
    <w:rsid w:val="0090024A"/>
    <w:rsid w:val="00906B78"/>
    <w:rsid w:val="009106DF"/>
    <w:rsid w:val="009127C1"/>
    <w:rsid w:val="00913553"/>
    <w:rsid w:val="00913B59"/>
    <w:rsid w:val="0091448A"/>
    <w:rsid w:val="00915D2F"/>
    <w:rsid w:val="009218F1"/>
    <w:rsid w:val="009225F4"/>
    <w:rsid w:val="00922D6C"/>
    <w:rsid w:val="00934C77"/>
    <w:rsid w:val="009361F9"/>
    <w:rsid w:val="009371AB"/>
    <w:rsid w:val="009407F3"/>
    <w:rsid w:val="009472A2"/>
    <w:rsid w:val="00951857"/>
    <w:rsid w:val="009519D8"/>
    <w:rsid w:val="00952ECD"/>
    <w:rsid w:val="00957990"/>
    <w:rsid w:val="00960C74"/>
    <w:rsid w:val="0096169F"/>
    <w:rsid w:val="0096191D"/>
    <w:rsid w:val="00962525"/>
    <w:rsid w:val="00962FC1"/>
    <w:rsid w:val="00964951"/>
    <w:rsid w:val="00967080"/>
    <w:rsid w:val="00970D78"/>
    <w:rsid w:val="00973EA2"/>
    <w:rsid w:val="00974698"/>
    <w:rsid w:val="009777D9"/>
    <w:rsid w:val="00977FCA"/>
    <w:rsid w:val="00980FB6"/>
    <w:rsid w:val="00982021"/>
    <w:rsid w:val="00985847"/>
    <w:rsid w:val="00985DF2"/>
    <w:rsid w:val="009932E2"/>
    <w:rsid w:val="00994244"/>
    <w:rsid w:val="009A003A"/>
    <w:rsid w:val="009A1279"/>
    <w:rsid w:val="009A170A"/>
    <w:rsid w:val="009A1A3D"/>
    <w:rsid w:val="009A33B4"/>
    <w:rsid w:val="009A3F55"/>
    <w:rsid w:val="009A7FE9"/>
    <w:rsid w:val="009B39D5"/>
    <w:rsid w:val="009B4960"/>
    <w:rsid w:val="009B5B00"/>
    <w:rsid w:val="009B5FBA"/>
    <w:rsid w:val="009B68DD"/>
    <w:rsid w:val="009B6A4D"/>
    <w:rsid w:val="009B73F5"/>
    <w:rsid w:val="009B74A2"/>
    <w:rsid w:val="009C0984"/>
    <w:rsid w:val="009C0F5B"/>
    <w:rsid w:val="009C0FE7"/>
    <w:rsid w:val="009C1C8B"/>
    <w:rsid w:val="009C2DE8"/>
    <w:rsid w:val="009C3E75"/>
    <w:rsid w:val="009C6FFC"/>
    <w:rsid w:val="009C73AA"/>
    <w:rsid w:val="009D05F2"/>
    <w:rsid w:val="009D1561"/>
    <w:rsid w:val="009D2E70"/>
    <w:rsid w:val="009D50CC"/>
    <w:rsid w:val="009D5450"/>
    <w:rsid w:val="009D591C"/>
    <w:rsid w:val="009D7263"/>
    <w:rsid w:val="009E0CE9"/>
    <w:rsid w:val="009E4761"/>
    <w:rsid w:val="009E5352"/>
    <w:rsid w:val="009E5B26"/>
    <w:rsid w:val="009F04CE"/>
    <w:rsid w:val="009F1F60"/>
    <w:rsid w:val="009F2C6C"/>
    <w:rsid w:val="009F579D"/>
    <w:rsid w:val="009F7939"/>
    <w:rsid w:val="00A04850"/>
    <w:rsid w:val="00A10504"/>
    <w:rsid w:val="00A149AA"/>
    <w:rsid w:val="00A14E2F"/>
    <w:rsid w:val="00A15A68"/>
    <w:rsid w:val="00A16BE5"/>
    <w:rsid w:val="00A174D8"/>
    <w:rsid w:val="00A23313"/>
    <w:rsid w:val="00A269AF"/>
    <w:rsid w:val="00A31BFE"/>
    <w:rsid w:val="00A3575A"/>
    <w:rsid w:val="00A36586"/>
    <w:rsid w:val="00A4045C"/>
    <w:rsid w:val="00A41E59"/>
    <w:rsid w:val="00A42877"/>
    <w:rsid w:val="00A42E19"/>
    <w:rsid w:val="00A46211"/>
    <w:rsid w:val="00A46483"/>
    <w:rsid w:val="00A4760A"/>
    <w:rsid w:val="00A504A6"/>
    <w:rsid w:val="00A50CA0"/>
    <w:rsid w:val="00A568B4"/>
    <w:rsid w:val="00A5769F"/>
    <w:rsid w:val="00A615ED"/>
    <w:rsid w:val="00A61FB4"/>
    <w:rsid w:val="00A67E3A"/>
    <w:rsid w:val="00A71504"/>
    <w:rsid w:val="00A72BE6"/>
    <w:rsid w:val="00A73B07"/>
    <w:rsid w:val="00A75148"/>
    <w:rsid w:val="00A77378"/>
    <w:rsid w:val="00A825A9"/>
    <w:rsid w:val="00A8393D"/>
    <w:rsid w:val="00A84BEE"/>
    <w:rsid w:val="00A86B19"/>
    <w:rsid w:val="00A9196C"/>
    <w:rsid w:val="00A932E6"/>
    <w:rsid w:val="00AA033C"/>
    <w:rsid w:val="00AA13B9"/>
    <w:rsid w:val="00AA276A"/>
    <w:rsid w:val="00AB150B"/>
    <w:rsid w:val="00AB1D97"/>
    <w:rsid w:val="00AB5931"/>
    <w:rsid w:val="00AB5C06"/>
    <w:rsid w:val="00AB6D73"/>
    <w:rsid w:val="00AB7615"/>
    <w:rsid w:val="00AC55D8"/>
    <w:rsid w:val="00AC5848"/>
    <w:rsid w:val="00AC6C83"/>
    <w:rsid w:val="00AD2C64"/>
    <w:rsid w:val="00AD66BD"/>
    <w:rsid w:val="00AD7359"/>
    <w:rsid w:val="00AE1A49"/>
    <w:rsid w:val="00B00B29"/>
    <w:rsid w:val="00B00CAF"/>
    <w:rsid w:val="00B046B5"/>
    <w:rsid w:val="00B05362"/>
    <w:rsid w:val="00B07034"/>
    <w:rsid w:val="00B1489A"/>
    <w:rsid w:val="00B15B0D"/>
    <w:rsid w:val="00B21718"/>
    <w:rsid w:val="00B2220B"/>
    <w:rsid w:val="00B23A99"/>
    <w:rsid w:val="00B241B1"/>
    <w:rsid w:val="00B25519"/>
    <w:rsid w:val="00B26365"/>
    <w:rsid w:val="00B30623"/>
    <w:rsid w:val="00B35842"/>
    <w:rsid w:val="00B41657"/>
    <w:rsid w:val="00B41DBC"/>
    <w:rsid w:val="00B4212A"/>
    <w:rsid w:val="00B42297"/>
    <w:rsid w:val="00B42AD6"/>
    <w:rsid w:val="00B43F2B"/>
    <w:rsid w:val="00B46CE2"/>
    <w:rsid w:val="00B4757D"/>
    <w:rsid w:val="00B47C06"/>
    <w:rsid w:val="00B47F7C"/>
    <w:rsid w:val="00B50DBA"/>
    <w:rsid w:val="00B51C6A"/>
    <w:rsid w:val="00B527E8"/>
    <w:rsid w:val="00B55B2D"/>
    <w:rsid w:val="00B55D12"/>
    <w:rsid w:val="00B568F7"/>
    <w:rsid w:val="00B64D08"/>
    <w:rsid w:val="00B66A91"/>
    <w:rsid w:val="00B6710E"/>
    <w:rsid w:val="00B7160B"/>
    <w:rsid w:val="00B7160F"/>
    <w:rsid w:val="00B72089"/>
    <w:rsid w:val="00B74A32"/>
    <w:rsid w:val="00B74F91"/>
    <w:rsid w:val="00B752AC"/>
    <w:rsid w:val="00B75C27"/>
    <w:rsid w:val="00B82ED2"/>
    <w:rsid w:val="00B839E0"/>
    <w:rsid w:val="00B855FA"/>
    <w:rsid w:val="00B87509"/>
    <w:rsid w:val="00B91675"/>
    <w:rsid w:val="00B93684"/>
    <w:rsid w:val="00B9520A"/>
    <w:rsid w:val="00B96A4C"/>
    <w:rsid w:val="00B96E42"/>
    <w:rsid w:val="00BA113A"/>
    <w:rsid w:val="00BA39D5"/>
    <w:rsid w:val="00BA4A89"/>
    <w:rsid w:val="00BA4EC5"/>
    <w:rsid w:val="00BA7286"/>
    <w:rsid w:val="00BA790B"/>
    <w:rsid w:val="00BB0747"/>
    <w:rsid w:val="00BB1D8E"/>
    <w:rsid w:val="00BB269C"/>
    <w:rsid w:val="00BB2FCC"/>
    <w:rsid w:val="00BB3C02"/>
    <w:rsid w:val="00BB40B5"/>
    <w:rsid w:val="00BB5DFF"/>
    <w:rsid w:val="00BC149B"/>
    <w:rsid w:val="00BC1873"/>
    <w:rsid w:val="00BC19DF"/>
    <w:rsid w:val="00BC5794"/>
    <w:rsid w:val="00BC659F"/>
    <w:rsid w:val="00BD0DA3"/>
    <w:rsid w:val="00BD1819"/>
    <w:rsid w:val="00BD1C67"/>
    <w:rsid w:val="00BD21A5"/>
    <w:rsid w:val="00BD26CB"/>
    <w:rsid w:val="00BD4B9F"/>
    <w:rsid w:val="00BD558A"/>
    <w:rsid w:val="00BD642E"/>
    <w:rsid w:val="00BE2B5A"/>
    <w:rsid w:val="00BE5171"/>
    <w:rsid w:val="00BE6807"/>
    <w:rsid w:val="00BF1C5A"/>
    <w:rsid w:val="00BF2DE8"/>
    <w:rsid w:val="00BF5DBE"/>
    <w:rsid w:val="00C046E5"/>
    <w:rsid w:val="00C054B2"/>
    <w:rsid w:val="00C06D14"/>
    <w:rsid w:val="00C10289"/>
    <w:rsid w:val="00C10FC6"/>
    <w:rsid w:val="00C14CD6"/>
    <w:rsid w:val="00C16463"/>
    <w:rsid w:val="00C1692B"/>
    <w:rsid w:val="00C20BBC"/>
    <w:rsid w:val="00C21FA5"/>
    <w:rsid w:val="00C23A57"/>
    <w:rsid w:val="00C30FDE"/>
    <w:rsid w:val="00C31343"/>
    <w:rsid w:val="00C33AE1"/>
    <w:rsid w:val="00C345F6"/>
    <w:rsid w:val="00C375A3"/>
    <w:rsid w:val="00C4049B"/>
    <w:rsid w:val="00C40B03"/>
    <w:rsid w:val="00C41669"/>
    <w:rsid w:val="00C43B9F"/>
    <w:rsid w:val="00C44821"/>
    <w:rsid w:val="00C4600D"/>
    <w:rsid w:val="00C5155A"/>
    <w:rsid w:val="00C54481"/>
    <w:rsid w:val="00C5736C"/>
    <w:rsid w:val="00C65CB1"/>
    <w:rsid w:val="00C70C8B"/>
    <w:rsid w:val="00C739C2"/>
    <w:rsid w:val="00C77D26"/>
    <w:rsid w:val="00C804DB"/>
    <w:rsid w:val="00C818C8"/>
    <w:rsid w:val="00C86FAB"/>
    <w:rsid w:val="00C879DA"/>
    <w:rsid w:val="00C94451"/>
    <w:rsid w:val="00C9589D"/>
    <w:rsid w:val="00C95A5F"/>
    <w:rsid w:val="00CA19B6"/>
    <w:rsid w:val="00CA2FA0"/>
    <w:rsid w:val="00CA3E48"/>
    <w:rsid w:val="00CA4E23"/>
    <w:rsid w:val="00CA57FD"/>
    <w:rsid w:val="00CA7BA1"/>
    <w:rsid w:val="00CA7CAE"/>
    <w:rsid w:val="00CB259A"/>
    <w:rsid w:val="00CB3963"/>
    <w:rsid w:val="00CB3B8A"/>
    <w:rsid w:val="00CB4D84"/>
    <w:rsid w:val="00CC0B77"/>
    <w:rsid w:val="00CC229B"/>
    <w:rsid w:val="00CC334A"/>
    <w:rsid w:val="00CC4011"/>
    <w:rsid w:val="00CC6730"/>
    <w:rsid w:val="00CD052D"/>
    <w:rsid w:val="00CD06F4"/>
    <w:rsid w:val="00CD3BC6"/>
    <w:rsid w:val="00CD632A"/>
    <w:rsid w:val="00CD646B"/>
    <w:rsid w:val="00CE03B5"/>
    <w:rsid w:val="00CE269A"/>
    <w:rsid w:val="00CE2C36"/>
    <w:rsid w:val="00CE70E3"/>
    <w:rsid w:val="00CE7A75"/>
    <w:rsid w:val="00CF149B"/>
    <w:rsid w:val="00CF2A24"/>
    <w:rsid w:val="00CF349F"/>
    <w:rsid w:val="00CF4498"/>
    <w:rsid w:val="00CF5624"/>
    <w:rsid w:val="00CF5674"/>
    <w:rsid w:val="00CF673F"/>
    <w:rsid w:val="00D01141"/>
    <w:rsid w:val="00D0210C"/>
    <w:rsid w:val="00D055C1"/>
    <w:rsid w:val="00D056D9"/>
    <w:rsid w:val="00D07255"/>
    <w:rsid w:val="00D12307"/>
    <w:rsid w:val="00D1244B"/>
    <w:rsid w:val="00D12577"/>
    <w:rsid w:val="00D15C22"/>
    <w:rsid w:val="00D165F3"/>
    <w:rsid w:val="00D22586"/>
    <w:rsid w:val="00D227A5"/>
    <w:rsid w:val="00D264DE"/>
    <w:rsid w:val="00D27880"/>
    <w:rsid w:val="00D27DEB"/>
    <w:rsid w:val="00D367C1"/>
    <w:rsid w:val="00D409B8"/>
    <w:rsid w:val="00D417FB"/>
    <w:rsid w:val="00D43F17"/>
    <w:rsid w:val="00D442DE"/>
    <w:rsid w:val="00D44DD3"/>
    <w:rsid w:val="00D47439"/>
    <w:rsid w:val="00D54967"/>
    <w:rsid w:val="00D54F98"/>
    <w:rsid w:val="00D558A1"/>
    <w:rsid w:val="00D6049C"/>
    <w:rsid w:val="00D61B5C"/>
    <w:rsid w:val="00D6402E"/>
    <w:rsid w:val="00D70397"/>
    <w:rsid w:val="00D70414"/>
    <w:rsid w:val="00D70F05"/>
    <w:rsid w:val="00D710CA"/>
    <w:rsid w:val="00D76D56"/>
    <w:rsid w:val="00D81CFC"/>
    <w:rsid w:val="00D82EB8"/>
    <w:rsid w:val="00D8474E"/>
    <w:rsid w:val="00D86835"/>
    <w:rsid w:val="00D86D13"/>
    <w:rsid w:val="00D91AE7"/>
    <w:rsid w:val="00D91BEE"/>
    <w:rsid w:val="00D97D61"/>
    <w:rsid w:val="00DA2C2B"/>
    <w:rsid w:val="00DA7925"/>
    <w:rsid w:val="00DB264D"/>
    <w:rsid w:val="00DB34AD"/>
    <w:rsid w:val="00DB38A1"/>
    <w:rsid w:val="00DC25A4"/>
    <w:rsid w:val="00DC270A"/>
    <w:rsid w:val="00DC719A"/>
    <w:rsid w:val="00DC77F6"/>
    <w:rsid w:val="00DC7879"/>
    <w:rsid w:val="00DD033F"/>
    <w:rsid w:val="00DD0462"/>
    <w:rsid w:val="00DD2C83"/>
    <w:rsid w:val="00DD6CFB"/>
    <w:rsid w:val="00DE0231"/>
    <w:rsid w:val="00DE14E0"/>
    <w:rsid w:val="00DE1D22"/>
    <w:rsid w:val="00DE26E9"/>
    <w:rsid w:val="00DE74A8"/>
    <w:rsid w:val="00DE78BB"/>
    <w:rsid w:val="00DE78DC"/>
    <w:rsid w:val="00DF12D3"/>
    <w:rsid w:val="00DF33A1"/>
    <w:rsid w:val="00DF3A30"/>
    <w:rsid w:val="00E00470"/>
    <w:rsid w:val="00E00D87"/>
    <w:rsid w:val="00E00DCF"/>
    <w:rsid w:val="00E0282B"/>
    <w:rsid w:val="00E0351D"/>
    <w:rsid w:val="00E05DF7"/>
    <w:rsid w:val="00E079CB"/>
    <w:rsid w:val="00E1023B"/>
    <w:rsid w:val="00E1090E"/>
    <w:rsid w:val="00E11833"/>
    <w:rsid w:val="00E11994"/>
    <w:rsid w:val="00E1327E"/>
    <w:rsid w:val="00E14AD8"/>
    <w:rsid w:val="00E163A7"/>
    <w:rsid w:val="00E16455"/>
    <w:rsid w:val="00E166BD"/>
    <w:rsid w:val="00E1734D"/>
    <w:rsid w:val="00E2047C"/>
    <w:rsid w:val="00E20508"/>
    <w:rsid w:val="00E210A1"/>
    <w:rsid w:val="00E22C10"/>
    <w:rsid w:val="00E23536"/>
    <w:rsid w:val="00E25EB7"/>
    <w:rsid w:val="00E276C4"/>
    <w:rsid w:val="00E301C4"/>
    <w:rsid w:val="00E30984"/>
    <w:rsid w:val="00E32DCD"/>
    <w:rsid w:val="00E32DE0"/>
    <w:rsid w:val="00E32E22"/>
    <w:rsid w:val="00E349B3"/>
    <w:rsid w:val="00E372E5"/>
    <w:rsid w:val="00E37F1B"/>
    <w:rsid w:val="00E403B9"/>
    <w:rsid w:val="00E40BE4"/>
    <w:rsid w:val="00E46534"/>
    <w:rsid w:val="00E5114A"/>
    <w:rsid w:val="00E5690F"/>
    <w:rsid w:val="00E57C83"/>
    <w:rsid w:val="00E604C4"/>
    <w:rsid w:val="00E606B5"/>
    <w:rsid w:val="00E60E37"/>
    <w:rsid w:val="00E61D9D"/>
    <w:rsid w:val="00E62399"/>
    <w:rsid w:val="00E626FF"/>
    <w:rsid w:val="00E627FB"/>
    <w:rsid w:val="00E635D7"/>
    <w:rsid w:val="00E63BA4"/>
    <w:rsid w:val="00E6438D"/>
    <w:rsid w:val="00E64ECF"/>
    <w:rsid w:val="00E67C7A"/>
    <w:rsid w:val="00E704B7"/>
    <w:rsid w:val="00E7079A"/>
    <w:rsid w:val="00E70FC6"/>
    <w:rsid w:val="00E71513"/>
    <w:rsid w:val="00E73E06"/>
    <w:rsid w:val="00E761E9"/>
    <w:rsid w:val="00E77285"/>
    <w:rsid w:val="00E810EA"/>
    <w:rsid w:val="00E817FC"/>
    <w:rsid w:val="00E83321"/>
    <w:rsid w:val="00E83B98"/>
    <w:rsid w:val="00E84105"/>
    <w:rsid w:val="00E843B1"/>
    <w:rsid w:val="00E85E11"/>
    <w:rsid w:val="00E87583"/>
    <w:rsid w:val="00E94B1C"/>
    <w:rsid w:val="00EA3358"/>
    <w:rsid w:val="00EA3E7A"/>
    <w:rsid w:val="00EA4EFA"/>
    <w:rsid w:val="00EA7EC1"/>
    <w:rsid w:val="00EB06E2"/>
    <w:rsid w:val="00EB1A16"/>
    <w:rsid w:val="00EB4A60"/>
    <w:rsid w:val="00EB68AC"/>
    <w:rsid w:val="00EB6F57"/>
    <w:rsid w:val="00EB70D0"/>
    <w:rsid w:val="00EC2440"/>
    <w:rsid w:val="00EC36E1"/>
    <w:rsid w:val="00EC4AA0"/>
    <w:rsid w:val="00EC5FFD"/>
    <w:rsid w:val="00ED2588"/>
    <w:rsid w:val="00ED4123"/>
    <w:rsid w:val="00ED48D1"/>
    <w:rsid w:val="00ED5103"/>
    <w:rsid w:val="00ED6CD4"/>
    <w:rsid w:val="00EE0721"/>
    <w:rsid w:val="00EE25E4"/>
    <w:rsid w:val="00EE4137"/>
    <w:rsid w:val="00EE6C84"/>
    <w:rsid w:val="00EE6FDE"/>
    <w:rsid w:val="00EE7A00"/>
    <w:rsid w:val="00EF4020"/>
    <w:rsid w:val="00EF5158"/>
    <w:rsid w:val="00EF60AE"/>
    <w:rsid w:val="00EF68C2"/>
    <w:rsid w:val="00F00513"/>
    <w:rsid w:val="00F030E1"/>
    <w:rsid w:val="00F04B7A"/>
    <w:rsid w:val="00F06626"/>
    <w:rsid w:val="00F11A59"/>
    <w:rsid w:val="00F14AC9"/>
    <w:rsid w:val="00F14F73"/>
    <w:rsid w:val="00F15592"/>
    <w:rsid w:val="00F15F56"/>
    <w:rsid w:val="00F207E0"/>
    <w:rsid w:val="00F21186"/>
    <w:rsid w:val="00F22929"/>
    <w:rsid w:val="00F22A3F"/>
    <w:rsid w:val="00F22C29"/>
    <w:rsid w:val="00F22DAE"/>
    <w:rsid w:val="00F233C2"/>
    <w:rsid w:val="00F2708C"/>
    <w:rsid w:val="00F276D2"/>
    <w:rsid w:val="00F27966"/>
    <w:rsid w:val="00F30057"/>
    <w:rsid w:val="00F30D1E"/>
    <w:rsid w:val="00F323AC"/>
    <w:rsid w:val="00F32F29"/>
    <w:rsid w:val="00F34D20"/>
    <w:rsid w:val="00F4032F"/>
    <w:rsid w:val="00F40E89"/>
    <w:rsid w:val="00F41B55"/>
    <w:rsid w:val="00F41B87"/>
    <w:rsid w:val="00F4356D"/>
    <w:rsid w:val="00F46653"/>
    <w:rsid w:val="00F50D7A"/>
    <w:rsid w:val="00F5114F"/>
    <w:rsid w:val="00F52160"/>
    <w:rsid w:val="00F569BB"/>
    <w:rsid w:val="00F607E9"/>
    <w:rsid w:val="00F61A9B"/>
    <w:rsid w:val="00F6303A"/>
    <w:rsid w:val="00F637EC"/>
    <w:rsid w:val="00F6749A"/>
    <w:rsid w:val="00F72BC6"/>
    <w:rsid w:val="00F74D92"/>
    <w:rsid w:val="00F74E91"/>
    <w:rsid w:val="00F765AC"/>
    <w:rsid w:val="00F774A1"/>
    <w:rsid w:val="00F83432"/>
    <w:rsid w:val="00F95FD5"/>
    <w:rsid w:val="00FA188F"/>
    <w:rsid w:val="00FA2B45"/>
    <w:rsid w:val="00FA3521"/>
    <w:rsid w:val="00FA4618"/>
    <w:rsid w:val="00FA5C6A"/>
    <w:rsid w:val="00FA70BC"/>
    <w:rsid w:val="00FB04CE"/>
    <w:rsid w:val="00FB17CB"/>
    <w:rsid w:val="00FB3D43"/>
    <w:rsid w:val="00FB5615"/>
    <w:rsid w:val="00FB782A"/>
    <w:rsid w:val="00FC111C"/>
    <w:rsid w:val="00FC36D8"/>
    <w:rsid w:val="00FC60FE"/>
    <w:rsid w:val="00FC6538"/>
    <w:rsid w:val="00FC6BBD"/>
    <w:rsid w:val="00FC7642"/>
    <w:rsid w:val="00FD04B8"/>
    <w:rsid w:val="00FD161B"/>
    <w:rsid w:val="00FD6542"/>
    <w:rsid w:val="00FD6CF8"/>
    <w:rsid w:val="00FD7C99"/>
    <w:rsid w:val="00FE06E7"/>
    <w:rsid w:val="00FE1148"/>
    <w:rsid w:val="00FE232D"/>
    <w:rsid w:val="00FE2B1F"/>
    <w:rsid w:val="00FE3ED7"/>
    <w:rsid w:val="00FE45E3"/>
    <w:rsid w:val="00FE4851"/>
    <w:rsid w:val="00FE4C70"/>
    <w:rsid w:val="00FF0EE3"/>
    <w:rsid w:val="00FF12AA"/>
    <w:rsid w:val="00FF3A0C"/>
    <w:rsid w:val="00FF3FC9"/>
    <w:rsid w:val="01B5201B"/>
    <w:rsid w:val="01C87E2D"/>
    <w:rsid w:val="01E565FA"/>
    <w:rsid w:val="01F00AC2"/>
    <w:rsid w:val="02154663"/>
    <w:rsid w:val="02292863"/>
    <w:rsid w:val="02301242"/>
    <w:rsid w:val="023A042F"/>
    <w:rsid w:val="025010BB"/>
    <w:rsid w:val="02546B6C"/>
    <w:rsid w:val="029A5126"/>
    <w:rsid w:val="02D9500F"/>
    <w:rsid w:val="02E71BD7"/>
    <w:rsid w:val="03277754"/>
    <w:rsid w:val="034C2E76"/>
    <w:rsid w:val="03BC14CB"/>
    <w:rsid w:val="03E10EBA"/>
    <w:rsid w:val="03F655EE"/>
    <w:rsid w:val="042664DE"/>
    <w:rsid w:val="04694538"/>
    <w:rsid w:val="048F3716"/>
    <w:rsid w:val="04B94F4D"/>
    <w:rsid w:val="04C21344"/>
    <w:rsid w:val="04D00F80"/>
    <w:rsid w:val="05454338"/>
    <w:rsid w:val="05E77817"/>
    <w:rsid w:val="061D2A2B"/>
    <w:rsid w:val="06387898"/>
    <w:rsid w:val="065151B1"/>
    <w:rsid w:val="06D949CD"/>
    <w:rsid w:val="07205A43"/>
    <w:rsid w:val="072C2985"/>
    <w:rsid w:val="079F0123"/>
    <w:rsid w:val="08585B4C"/>
    <w:rsid w:val="08C03D58"/>
    <w:rsid w:val="097A7C6C"/>
    <w:rsid w:val="097C48EB"/>
    <w:rsid w:val="09DE6C10"/>
    <w:rsid w:val="0A14100E"/>
    <w:rsid w:val="0A22297D"/>
    <w:rsid w:val="0A886976"/>
    <w:rsid w:val="0AB04981"/>
    <w:rsid w:val="0ACD63C7"/>
    <w:rsid w:val="0B000C83"/>
    <w:rsid w:val="0B1308F6"/>
    <w:rsid w:val="0B1B7564"/>
    <w:rsid w:val="0B253205"/>
    <w:rsid w:val="0B5F4322"/>
    <w:rsid w:val="0C446DC7"/>
    <w:rsid w:val="0CE74F8B"/>
    <w:rsid w:val="0D107A79"/>
    <w:rsid w:val="0D167CE5"/>
    <w:rsid w:val="0D3E4AE7"/>
    <w:rsid w:val="0DFB2FB3"/>
    <w:rsid w:val="0DFB61A3"/>
    <w:rsid w:val="0E8A6DC2"/>
    <w:rsid w:val="0EB55CA2"/>
    <w:rsid w:val="0EC94DD7"/>
    <w:rsid w:val="0ECA344C"/>
    <w:rsid w:val="0F507316"/>
    <w:rsid w:val="0F75734D"/>
    <w:rsid w:val="0F7C390C"/>
    <w:rsid w:val="0FD542E6"/>
    <w:rsid w:val="0FE07D7F"/>
    <w:rsid w:val="10182083"/>
    <w:rsid w:val="109F7C81"/>
    <w:rsid w:val="10A049A9"/>
    <w:rsid w:val="10A74B97"/>
    <w:rsid w:val="10AE050B"/>
    <w:rsid w:val="10B643FA"/>
    <w:rsid w:val="10DA76D6"/>
    <w:rsid w:val="113A2F0E"/>
    <w:rsid w:val="116A3953"/>
    <w:rsid w:val="11813355"/>
    <w:rsid w:val="11FE06F3"/>
    <w:rsid w:val="12073485"/>
    <w:rsid w:val="120D40DA"/>
    <w:rsid w:val="122B2DC6"/>
    <w:rsid w:val="126F7F50"/>
    <w:rsid w:val="128B37A6"/>
    <w:rsid w:val="12CB0F5C"/>
    <w:rsid w:val="12E71799"/>
    <w:rsid w:val="132A7280"/>
    <w:rsid w:val="13416D96"/>
    <w:rsid w:val="13764A3E"/>
    <w:rsid w:val="13B677A9"/>
    <w:rsid w:val="13EE3401"/>
    <w:rsid w:val="142E526F"/>
    <w:rsid w:val="14A744DC"/>
    <w:rsid w:val="14AD0DD4"/>
    <w:rsid w:val="15562E0E"/>
    <w:rsid w:val="159A0776"/>
    <w:rsid w:val="1677734A"/>
    <w:rsid w:val="17216AF1"/>
    <w:rsid w:val="17422B1D"/>
    <w:rsid w:val="176F2136"/>
    <w:rsid w:val="17E958DC"/>
    <w:rsid w:val="17EB1580"/>
    <w:rsid w:val="17F712BD"/>
    <w:rsid w:val="1817154F"/>
    <w:rsid w:val="187F4F37"/>
    <w:rsid w:val="18953078"/>
    <w:rsid w:val="18B70434"/>
    <w:rsid w:val="18D646B1"/>
    <w:rsid w:val="1922698B"/>
    <w:rsid w:val="1983492A"/>
    <w:rsid w:val="1A2A1B57"/>
    <w:rsid w:val="1B3A7B26"/>
    <w:rsid w:val="1B7A33A9"/>
    <w:rsid w:val="1B820C36"/>
    <w:rsid w:val="1B827383"/>
    <w:rsid w:val="1BA54A74"/>
    <w:rsid w:val="1C341BE3"/>
    <w:rsid w:val="1C426CD6"/>
    <w:rsid w:val="1C5E08C4"/>
    <w:rsid w:val="1CC75F0F"/>
    <w:rsid w:val="1D026B6B"/>
    <w:rsid w:val="1D13153B"/>
    <w:rsid w:val="1D3823E6"/>
    <w:rsid w:val="1D807409"/>
    <w:rsid w:val="1DB40E22"/>
    <w:rsid w:val="1DCF37F0"/>
    <w:rsid w:val="1DCF493A"/>
    <w:rsid w:val="1E075089"/>
    <w:rsid w:val="1E2A4C19"/>
    <w:rsid w:val="1EAD5057"/>
    <w:rsid w:val="1ED82539"/>
    <w:rsid w:val="1F772FCB"/>
    <w:rsid w:val="1F8B60F0"/>
    <w:rsid w:val="2009603A"/>
    <w:rsid w:val="2049049B"/>
    <w:rsid w:val="20917681"/>
    <w:rsid w:val="20F01EC6"/>
    <w:rsid w:val="20F36B91"/>
    <w:rsid w:val="21084144"/>
    <w:rsid w:val="210C0AB7"/>
    <w:rsid w:val="21440214"/>
    <w:rsid w:val="21712410"/>
    <w:rsid w:val="21955768"/>
    <w:rsid w:val="21FA1A16"/>
    <w:rsid w:val="221E1123"/>
    <w:rsid w:val="22674D7D"/>
    <w:rsid w:val="2342564B"/>
    <w:rsid w:val="236C7186"/>
    <w:rsid w:val="23993E95"/>
    <w:rsid w:val="23A138B4"/>
    <w:rsid w:val="23B2130E"/>
    <w:rsid w:val="23BC024B"/>
    <w:rsid w:val="24021188"/>
    <w:rsid w:val="24422247"/>
    <w:rsid w:val="244F2331"/>
    <w:rsid w:val="2459318C"/>
    <w:rsid w:val="246F0492"/>
    <w:rsid w:val="24B21A5A"/>
    <w:rsid w:val="24B43692"/>
    <w:rsid w:val="24F124A2"/>
    <w:rsid w:val="24FD246F"/>
    <w:rsid w:val="25027012"/>
    <w:rsid w:val="250975F4"/>
    <w:rsid w:val="25512802"/>
    <w:rsid w:val="25581B05"/>
    <w:rsid w:val="26132266"/>
    <w:rsid w:val="26674565"/>
    <w:rsid w:val="26E866B4"/>
    <w:rsid w:val="26FC7CDF"/>
    <w:rsid w:val="275E72FC"/>
    <w:rsid w:val="27997EDF"/>
    <w:rsid w:val="27CA036D"/>
    <w:rsid w:val="27F3015D"/>
    <w:rsid w:val="28421013"/>
    <w:rsid w:val="285E79CB"/>
    <w:rsid w:val="286337EB"/>
    <w:rsid w:val="287B6F62"/>
    <w:rsid w:val="288C62EA"/>
    <w:rsid w:val="28D177B8"/>
    <w:rsid w:val="28E90451"/>
    <w:rsid w:val="29523D8B"/>
    <w:rsid w:val="29564794"/>
    <w:rsid w:val="29C74A0E"/>
    <w:rsid w:val="29C94F77"/>
    <w:rsid w:val="2A3B4B7A"/>
    <w:rsid w:val="2A5C2E7E"/>
    <w:rsid w:val="2B02353D"/>
    <w:rsid w:val="2B044B89"/>
    <w:rsid w:val="2B093819"/>
    <w:rsid w:val="2B3E2541"/>
    <w:rsid w:val="2BDE08FA"/>
    <w:rsid w:val="2BEB7CFF"/>
    <w:rsid w:val="2BF90944"/>
    <w:rsid w:val="2C354AF2"/>
    <w:rsid w:val="2C586EAF"/>
    <w:rsid w:val="2C713317"/>
    <w:rsid w:val="2C8247A0"/>
    <w:rsid w:val="2C8F7376"/>
    <w:rsid w:val="2CB562BE"/>
    <w:rsid w:val="2CEC4612"/>
    <w:rsid w:val="2D4B773E"/>
    <w:rsid w:val="2D673047"/>
    <w:rsid w:val="2D8F23BE"/>
    <w:rsid w:val="2DC35A6B"/>
    <w:rsid w:val="2E201624"/>
    <w:rsid w:val="2E813576"/>
    <w:rsid w:val="2E8D0249"/>
    <w:rsid w:val="2EE92E1E"/>
    <w:rsid w:val="2F2720ED"/>
    <w:rsid w:val="2F357E25"/>
    <w:rsid w:val="2F395F54"/>
    <w:rsid w:val="2F697164"/>
    <w:rsid w:val="2F870A85"/>
    <w:rsid w:val="2F9072FF"/>
    <w:rsid w:val="2FCC4D09"/>
    <w:rsid w:val="2FF16D8F"/>
    <w:rsid w:val="304D21A4"/>
    <w:rsid w:val="30502B6D"/>
    <w:rsid w:val="30AE768C"/>
    <w:rsid w:val="317D18D2"/>
    <w:rsid w:val="31C92AD2"/>
    <w:rsid w:val="327D275F"/>
    <w:rsid w:val="3285327B"/>
    <w:rsid w:val="32E81EB9"/>
    <w:rsid w:val="330B5E15"/>
    <w:rsid w:val="332F28F5"/>
    <w:rsid w:val="33941B0E"/>
    <w:rsid w:val="339715FE"/>
    <w:rsid w:val="33D3632F"/>
    <w:rsid w:val="33FD76BE"/>
    <w:rsid w:val="34055461"/>
    <w:rsid w:val="343E4C58"/>
    <w:rsid w:val="34407811"/>
    <w:rsid w:val="344F417C"/>
    <w:rsid w:val="34530AE6"/>
    <w:rsid w:val="345343F5"/>
    <w:rsid w:val="345A37A9"/>
    <w:rsid w:val="34B644B3"/>
    <w:rsid w:val="34FE57FA"/>
    <w:rsid w:val="35156241"/>
    <w:rsid w:val="351C180B"/>
    <w:rsid w:val="35394371"/>
    <w:rsid w:val="354662DF"/>
    <w:rsid w:val="35B35362"/>
    <w:rsid w:val="35D455C8"/>
    <w:rsid w:val="35FD3316"/>
    <w:rsid w:val="3633308A"/>
    <w:rsid w:val="36B92E1C"/>
    <w:rsid w:val="36E3512F"/>
    <w:rsid w:val="36E542A3"/>
    <w:rsid w:val="36EC5CED"/>
    <w:rsid w:val="37036833"/>
    <w:rsid w:val="376B60CC"/>
    <w:rsid w:val="37846F04"/>
    <w:rsid w:val="378F12B1"/>
    <w:rsid w:val="37977A6D"/>
    <w:rsid w:val="37A15113"/>
    <w:rsid w:val="38231C25"/>
    <w:rsid w:val="38307E3A"/>
    <w:rsid w:val="38666187"/>
    <w:rsid w:val="38716244"/>
    <w:rsid w:val="38B12F93"/>
    <w:rsid w:val="38BE2B1C"/>
    <w:rsid w:val="390C3312"/>
    <w:rsid w:val="391A4DE7"/>
    <w:rsid w:val="391B2D98"/>
    <w:rsid w:val="392845DF"/>
    <w:rsid w:val="39384075"/>
    <w:rsid w:val="395A7356"/>
    <w:rsid w:val="39905C5B"/>
    <w:rsid w:val="39C93C16"/>
    <w:rsid w:val="39DE2B24"/>
    <w:rsid w:val="39ED0AA1"/>
    <w:rsid w:val="39FA7F52"/>
    <w:rsid w:val="3A002E9A"/>
    <w:rsid w:val="3A5D7DF1"/>
    <w:rsid w:val="3A696106"/>
    <w:rsid w:val="3A771E7C"/>
    <w:rsid w:val="3AAF136E"/>
    <w:rsid w:val="3ACA26EC"/>
    <w:rsid w:val="3AEE58E1"/>
    <w:rsid w:val="3B1521EF"/>
    <w:rsid w:val="3B1934F7"/>
    <w:rsid w:val="3B480A98"/>
    <w:rsid w:val="3BB0325D"/>
    <w:rsid w:val="3BB64A67"/>
    <w:rsid w:val="3CA40A90"/>
    <w:rsid w:val="3CC36161"/>
    <w:rsid w:val="3D0B562A"/>
    <w:rsid w:val="3D1A51ED"/>
    <w:rsid w:val="3D532A73"/>
    <w:rsid w:val="3D663392"/>
    <w:rsid w:val="3DA610DF"/>
    <w:rsid w:val="3DF64736"/>
    <w:rsid w:val="3E3C5B71"/>
    <w:rsid w:val="3E6E2926"/>
    <w:rsid w:val="3EBC53F6"/>
    <w:rsid w:val="3EBE60F2"/>
    <w:rsid w:val="3F390EE3"/>
    <w:rsid w:val="3F8C48AE"/>
    <w:rsid w:val="3FA041AC"/>
    <w:rsid w:val="3FB63D74"/>
    <w:rsid w:val="3FEC6FA3"/>
    <w:rsid w:val="404D6193"/>
    <w:rsid w:val="40711729"/>
    <w:rsid w:val="409669F0"/>
    <w:rsid w:val="409C0254"/>
    <w:rsid w:val="40A922D9"/>
    <w:rsid w:val="418B32B2"/>
    <w:rsid w:val="421A0D47"/>
    <w:rsid w:val="4228754F"/>
    <w:rsid w:val="42422076"/>
    <w:rsid w:val="4243163F"/>
    <w:rsid w:val="42473139"/>
    <w:rsid w:val="427830BA"/>
    <w:rsid w:val="42837591"/>
    <w:rsid w:val="42942D63"/>
    <w:rsid w:val="42BC64DD"/>
    <w:rsid w:val="42E2174B"/>
    <w:rsid w:val="43800493"/>
    <w:rsid w:val="43B76C4B"/>
    <w:rsid w:val="44036C30"/>
    <w:rsid w:val="440B0908"/>
    <w:rsid w:val="443F7548"/>
    <w:rsid w:val="444A128E"/>
    <w:rsid w:val="449D633E"/>
    <w:rsid w:val="44BF3ED1"/>
    <w:rsid w:val="44E13350"/>
    <w:rsid w:val="451D41E6"/>
    <w:rsid w:val="4544208D"/>
    <w:rsid w:val="4560102C"/>
    <w:rsid w:val="45853E19"/>
    <w:rsid w:val="45B506A1"/>
    <w:rsid w:val="45C17CDE"/>
    <w:rsid w:val="45F95527"/>
    <w:rsid w:val="45FE57B3"/>
    <w:rsid w:val="464B75B8"/>
    <w:rsid w:val="46501022"/>
    <w:rsid w:val="46B22DAD"/>
    <w:rsid w:val="47022C63"/>
    <w:rsid w:val="47286E32"/>
    <w:rsid w:val="479E32E6"/>
    <w:rsid w:val="47C85BBD"/>
    <w:rsid w:val="47E47304"/>
    <w:rsid w:val="47E50A8C"/>
    <w:rsid w:val="487C76A0"/>
    <w:rsid w:val="48853388"/>
    <w:rsid w:val="489243B7"/>
    <w:rsid w:val="489A547A"/>
    <w:rsid w:val="48EC26F4"/>
    <w:rsid w:val="48F573F1"/>
    <w:rsid w:val="49D97353"/>
    <w:rsid w:val="4A642A4E"/>
    <w:rsid w:val="4AA84682"/>
    <w:rsid w:val="4AC705C3"/>
    <w:rsid w:val="4AC72371"/>
    <w:rsid w:val="4ACB543E"/>
    <w:rsid w:val="4ADC51BE"/>
    <w:rsid w:val="4AFC1194"/>
    <w:rsid w:val="4B142168"/>
    <w:rsid w:val="4B1D1201"/>
    <w:rsid w:val="4B9932D0"/>
    <w:rsid w:val="4BA21C67"/>
    <w:rsid w:val="4C4A3A0C"/>
    <w:rsid w:val="4C556956"/>
    <w:rsid w:val="4D40043E"/>
    <w:rsid w:val="4D4E28D6"/>
    <w:rsid w:val="4DC54641"/>
    <w:rsid w:val="4DCA2D3A"/>
    <w:rsid w:val="4E7835BC"/>
    <w:rsid w:val="4E873C75"/>
    <w:rsid w:val="4E8B26C7"/>
    <w:rsid w:val="4E913497"/>
    <w:rsid w:val="4EB122B3"/>
    <w:rsid w:val="4ED313FC"/>
    <w:rsid w:val="4ED50339"/>
    <w:rsid w:val="4EE820C6"/>
    <w:rsid w:val="4F411A2B"/>
    <w:rsid w:val="4F9834CC"/>
    <w:rsid w:val="4F9973F4"/>
    <w:rsid w:val="4FB516E1"/>
    <w:rsid w:val="4FD07B4B"/>
    <w:rsid w:val="50142A24"/>
    <w:rsid w:val="502B1E21"/>
    <w:rsid w:val="50A53988"/>
    <w:rsid w:val="514432FE"/>
    <w:rsid w:val="51450D89"/>
    <w:rsid w:val="51854E7F"/>
    <w:rsid w:val="51877F72"/>
    <w:rsid w:val="51F46078"/>
    <w:rsid w:val="51FC53E0"/>
    <w:rsid w:val="5201325E"/>
    <w:rsid w:val="52537187"/>
    <w:rsid w:val="52831058"/>
    <w:rsid w:val="529A73EF"/>
    <w:rsid w:val="52C55C27"/>
    <w:rsid w:val="52FB504E"/>
    <w:rsid w:val="532A0A56"/>
    <w:rsid w:val="532E38DE"/>
    <w:rsid w:val="533F5425"/>
    <w:rsid w:val="538006EE"/>
    <w:rsid w:val="54661A6D"/>
    <w:rsid w:val="547000E3"/>
    <w:rsid w:val="548C6658"/>
    <w:rsid w:val="54DC6F76"/>
    <w:rsid w:val="54F262B2"/>
    <w:rsid w:val="55500544"/>
    <w:rsid w:val="5558603B"/>
    <w:rsid w:val="558A07AD"/>
    <w:rsid w:val="558D41B7"/>
    <w:rsid w:val="55AD4568"/>
    <w:rsid w:val="55DC3E5D"/>
    <w:rsid w:val="55EF390D"/>
    <w:rsid w:val="55F60BA9"/>
    <w:rsid w:val="561016A7"/>
    <w:rsid w:val="561C06B7"/>
    <w:rsid w:val="56237289"/>
    <w:rsid w:val="56985ECA"/>
    <w:rsid w:val="570D10A9"/>
    <w:rsid w:val="577A2152"/>
    <w:rsid w:val="57962DD5"/>
    <w:rsid w:val="57DA2FF7"/>
    <w:rsid w:val="58750081"/>
    <w:rsid w:val="58CE4E5E"/>
    <w:rsid w:val="58D32786"/>
    <w:rsid w:val="5915664B"/>
    <w:rsid w:val="5940355A"/>
    <w:rsid w:val="598201B0"/>
    <w:rsid w:val="59CA67CF"/>
    <w:rsid w:val="59CD6415"/>
    <w:rsid w:val="59D77ED8"/>
    <w:rsid w:val="5A1F4157"/>
    <w:rsid w:val="5A4F1A83"/>
    <w:rsid w:val="5AF60605"/>
    <w:rsid w:val="5B1D1F89"/>
    <w:rsid w:val="5B726428"/>
    <w:rsid w:val="5B883509"/>
    <w:rsid w:val="5B97670E"/>
    <w:rsid w:val="5BC86507"/>
    <w:rsid w:val="5C0C4A07"/>
    <w:rsid w:val="5C5825AA"/>
    <w:rsid w:val="5C5E59FD"/>
    <w:rsid w:val="5C9639C4"/>
    <w:rsid w:val="5D617B99"/>
    <w:rsid w:val="5D6A0264"/>
    <w:rsid w:val="5DA913A6"/>
    <w:rsid w:val="5DFC41A9"/>
    <w:rsid w:val="5E215AF5"/>
    <w:rsid w:val="5E85058B"/>
    <w:rsid w:val="5F0F6B05"/>
    <w:rsid w:val="5F2549F6"/>
    <w:rsid w:val="5FEF0BC8"/>
    <w:rsid w:val="60235E90"/>
    <w:rsid w:val="607A593F"/>
    <w:rsid w:val="607E760A"/>
    <w:rsid w:val="6090471F"/>
    <w:rsid w:val="60965ADD"/>
    <w:rsid w:val="60CF4CAA"/>
    <w:rsid w:val="61226E78"/>
    <w:rsid w:val="612A36F4"/>
    <w:rsid w:val="619322D8"/>
    <w:rsid w:val="61AC4E9D"/>
    <w:rsid w:val="61AE0F73"/>
    <w:rsid w:val="61B52654"/>
    <w:rsid w:val="61BB1034"/>
    <w:rsid w:val="61C72E6E"/>
    <w:rsid w:val="62302B84"/>
    <w:rsid w:val="625B56F8"/>
    <w:rsid w:val="632E79DE"/>
    <w:rsid w:val="63A04925"/>
    <w:rsid w:val="63A05979"/>
    <w:rsid w:val="63CF1C92"/>
    <w:rsid w:val="63D50A45"/>
    <w:rsid w:val="6409130A"/>
    <w:rsid w:val="641A1533"/>
    <w:rsid w:val="64B90B78"/>
    <w:rsid w:val="64DB7044"/>
    <w:rsid w:val="653E2C47"/>
    <w:rsid w:val="65713B58"/>
    <w:rsid w:val="65B71D4E"/>
    <w:rsid w:val="65BF71D6"/>
    <w:rsid w:val="660F52E1"/>
    <w:rsid w:val="666E59E9"/>
    <w:rsid w:val="674B49C6"/>
    <w:rsid w:val="675343DC"/>
    <w:rsid w:val="67766987"/>
    <w:rsid w:val="681A5F3B"/>
    <w:rsid w:val="683602AE"/>
    <w:rsid w:val="6878474F"/>
    <w:rsid w:val="68B0186F"/>
    <w:rsid w:val="68E00AE9"/>
    <w:rsid w:val="690A0085"/>
    <w:rsid w:val="690C2762"/>
    <w:rsid w:val="691876FE"/>
    <w:rsid w:val="691E574C"/>
    <w:rsid w:val="69501373"/>
    <w:rsid w:val="6AB54053"/>
    <w:rsid w:val="6B4015B2"/>
    <w:rsid w:val="6B61082D"/>
    <w:rsid w:val="6B754BB2"/>
    <w:rsid w:val="6BBB08DF"/>
    <w:rsid w:val="6BE801E7"/>
    <w:rsid w:val="6C2D178F"/>
    <w:rsid w:val="6C9F465B"/>
    <w:rsid w:val="6CBF1508"/>
    <w:rsid w:val="6CE27ACD"/>
    <w:rsid w:val="6D241E63"/>
    <w:rsid w:val="6D6B6E4D"/>
    <w:rsid w:val="6D9305DB"/>
    <w:rsid w:val="6DC37052"/>
    <w:rsid w:val="6DE94F39"/>
    <w:rsid w:val="6DF243DE"/>
    <w:rsid w:val="6E056DE4"/>
    <w:rsid w:val="6E2D7400"/>
    <w:rsid w:val="6E543DB3"/>
    <w:rsid w:val="6E8C68AC"/>
    <w:rsid w:val="6E937CD8"/>
    <w:rsid w:val="6EDC3D8E"/>
    <w:rsid w:val="6F13037E"/>
    <w:rsid w:val="6F3D3ED9"/>
    <w:rsid w:val="6F414742"/>
    <w:rsid w:val="6F422395"/>
    <w:rsid w:val="6F5E5CAB"/>
    <w:rsid w:val="6F777F27"/>
    <w:rsid w:val="6FC113A3"/>
    <w:rsid w:val="6FCB39B7"/>
    <w:rsid w:val="707D5EC5"/>
    <w:rsid w:val="708B2CB1"/>
    <w:rsid w:val="70C90DC0"/>
    <w:rsid w:val="70CE529A"/>
    <w:rsid w:val="71E75C26"/>
    <w:rsid w:val="71FF4465"/>
    <w:rsid w:val="723C52DD"/>
    <w:rsid w:val="72DE59F0"/>
    <w:rsid w:val="73295315"/>
    <w:rsid w:val="732A2376"/>
    <w:rsid w:val="73320DFD"/>
    <w:rsid w:val="738D1120"/>
    <w:rsid w:val="73A47D96"/>
    <w:rsid w:val="73BA3DE4"/>
    <w:rsid w:val="740C659A"/>
    <w:rsid w:val="74301C3A"/>
    <w:rsid w:val="74567DE9"/>
    <w:rsid w:val="7460295E"/>
    <w:rsid w:val="75061B64"/>
    <w:rsid w:val="752442F9"/>
    <w:rsid w:val="75885418"/>
    <w:rsid w:val="7590142E"/>
    <w:rsid w:val="75D81FEC"/>
    <w:rsid w:val="75F40C53"/>
    <w:rsid w:val="760261F5"/>
    <w:rsid w:val="76E5305A"/>
    <w:rsid w:val="77326D7C"/>
    <w:rsid w:val="773A092C"/>
    <w:rsid w:val="77694F52"/>
    <w:rsid w:val="777651F6"/>
    <w:rsid w:val="77FA5D85"/>
    <w:rsid w:val="781A630B"/>
    <w:rsid w:val="78273EF6"/>
    <w:rsid w:val="78DA26BD"/>
    <w:rsid w:val="7919753F"/>
    <w:rsid w:val="79353340"/>
    <w:rsid w:val="795A70E9"/>
    <w:rsid w:val="7A48677B"/>
    <w:rsid w:val="7A6946E2"/>
    <w:rsid w:val="7A984F70"/>
    <w:rsid w:val="7AFE373A"/>
    <w:rsid w:val="7B366634"/>
    <w:rsid w:val="7B4E2788"/>
    <w:rsid w:val="7B70526D"/>
    <w:rsid w:val="7BA81DE3"/>
    <w:rsid w:val="7BD9545B"/>
    <w:rsid w:val="7C7B179D"/>
    <w:rsid w:val="7C7F7A0B"/>
    <w:rsid w:val="7C8963D7"/>
    <w:rsid w:val="7C913706"/>
    <w:rsid w:val="7C9E6B19"/>
    <w:rsid w:val="7CD07F23"/>
    <w:rsid w:val="7D8F6250"/>
    <w:rsid w:val="7D987E04"/>
    <w:rsid w:val="7DD6089E"/>
    <w:rsid w:val="7DDB0212"/>
    <w:rsid w:val="7E1B491C"/>
    <w:rsid w:val="7E295D76"/>
    <w:rsid w:val="7EA753CB"/>
    <w:rsid w:val="7ECE6A14"/>
    <w:rsid w:val="7F0F7203"/>
    <w:rsid w:val="7F674106"/>
    <w:rsid w:val="FBDB9E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8"/>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link w:val="37"/>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7">
    <w:name w:val="heading 3"/>
    <w:basedOn w:val="1"/>
    <w:next w:val="1"/>
    <w:link w:val="55"/>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36"/>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42"/>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45"/>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56"/>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4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4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8">
    <w:name w:val="Default Paragraph Font"/>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toc 4"/>
    <w:basedOn w:val="1"/>
    <w:next w:val="1"/>
    <w:qFormat/>
    <w:uiPriority w:val="0"/>
    <w:pPr>
      <w:ind w:left="1260"/>
    </w:pPr>
    <w:rPr>
      <w:rFonts w:ascii="黑体" w:eastAsia="黑体"/>
      <w:sz w:val="32"/>
      <w:szCs w:val="32"/>
    </w:rPr>
  </w:style>
  <w:style w:type="paragraph" w:styleId="14">
    <w:name w:val="Normal Indent"/>
    <w:basedOn w:val="1"/>
    <w:unhideWhenUsed/>
    <w:qFormat/>
    <w:uiPriority w:val="99"/>
    <w:pPr>
      <w:ind w:firstLine="420" w:firstLineChars="200"/>
    </w:pPr>
  </w:style>
  <w:style w:type="paragraph" w:styleId="15">
    <w:name w:val="annotation text"/>
    <w:basedOn w:val="1"/>
    <w:link w:val="60"/>
    <w:qFormat/>
    <w:uiPriority w:val="0"/>
    <w:pPr>
      <w:jc w:val="left"/>
    </w:pPr>
  </w:style>
  <w:style w:type="paragraph" w:styleId="16">
    <w:name w:val="Body Text"/>
    <w:basedOn w:val="1"/>
    <w:next w:val="17"/>
    <w:unhideWhenUsed/>
    <w:qFormat/>
    <w:uiPriority w:val="0"/>
    <w:pPr>
      <w:spacing w:after="120" w:afterLines="0" w:afterAutospacing="0"/>
    </w:pPr>
  </w:style>
  <w:style w:type="paragraph" w:customStyle="1" w:styleId="17">
    <w:name w:val="正文首行缩进1"/>
    <w:basedOn w:val="1"/>
    <w:qFormat/>
    <w:uiPriority w:val="0"/>
    <w:pPr>
      <w:spacing w:after="120"/>
      <w:ind w:firstLine="420" w:firstLineChars="100"/>
    </w:pPr>
    <w:rPr>
      <w:rFonts w:ascii="Times New Roman" w:hAnsi="Times New Roman" w:eastAsia="宋体" w:cs="Times New Roman"/>
    </w:rPr>
  </w:style>
  <w:style w:type="paragraph" w:styleId="18">
    <w:name w:val="toc 5"/>
    <w:basedOn w:val="1"/>
    <w:next w:val="1"/>
    <w:qFormat/>
    <w:uiPriority w:val="0"/>
    <w:pPr>
      <w:ind w:left="800" w:leftChars="800"/>
    </w:pPr>
  </w:style>
  <w:style w:type="paragraph" w:styleId="19">
    <w:name w:val="Date"/>
    <w:basedOn w:val="1"/>
    <w:next w:val="1"/>
    <w:qFormat/>
    <w:uiPriority w:val="0"/>
    <w:pPr>
      <w:ind w:left="100" w:leftChars="2500"/>
    </w:pPr>
  </w:style>
  <w:style w:type="paragraph" w:styleId="20">
    <w:name w:val="Balloon Text"/>
    <w:basedOn w:val="1"/>
    <w:link w:val="5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5"/>
    <w:next w:val="15"/>
    <w:link w:val="59"/>
    <w:qFormat/>
    <w:uiPriority w:val="0"/>
    <w:rPr>
      <w:b/>
      <w:bCs/>
    </w:rPr>
  </w:style>
  <w:style w:type="paragraph" w:styleId="25">
    <w:name w:val="Body Text First Indent"/>
    <w:basedOn w:val="16"/>
    <w:next w:val="1"/>
    <w:qFormat/>
    <w:uiPriority w:val="0"/>
    <w:pPr>
      <w:ind w:firstLine="420" w:firstLineChars="100"/>
    </w:pPr>
  </w:style>
  <w:style w:type="table" w:styleId="27">
    <w:name w:val="Table Grid"/>
    <w:basedOn w:val="26"/>
    <w:qFormat/>
    <w:uiPriority w:val="0"/>
    <w:pPr>
      <w:widowControl w:val="0"/>
      <w:jc w:val="both"/>
    </w:pPr>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333333"/>
      <w:u w:val="none"/>
    </w:rPr>
  </w:style>
  <w:style w:type="character" w:styleId="32">
    <w:name w:val="Hyperlink"/>
    <w:basedOn w:val="28"/>
    <w:qFormat/>
    <w:uiPriority w:val="0"/>
    <w:rPr>
      <w:color w:val="0563C1"/>
      <w:u w:val="single"/>
    </w:rPr>
  </w:style>
  <w:style w:type="character" w:styleId="33">
    <w:name w:val="HTML Code"/>
    <w:qFormat/>
    <w:uiPriority w:val="0"/>
    <w:rPr>
      <w:rFonts w:ascii="宋体" w:hAnsi="宋体" w:eastAsia="宋体" w:cs="宋体"/>
      <w:sz w:val="24"/>
      <w:szCs w:val="24"/>
    </w:rPr>
  </w:style>
  <w:style w:type="character" w:styleId="34">
    <w:name w:val="annotation reference"/>
    <w:qFormat/>
    <w:uiPriority w:val="0"/>
    <w:rPr>
      <w:sz w:val="21"/>
      <w:szCs w:val="21"/>
    </w:rPr>
  </w:style>
  <w:style w:type="paragraph" w:customStyle="1" w:styleId="35">
    <w:name w:val="_Style 1"/>
    <w:basedOn w:val="1"/>
    <w:qFormat/>
    <w:uiPriority w:val="0"/>
    <w:rPr>
      <w:rFonts w:ascii="Times New Roman" w:hAnsi="Times New Roman"/>
    </w:rPr>
  </w:style>
  <w:style w:type="character" w:customStyle="1" w:styleId="36">
    <w:name w:val="标题 4 Char"/>
    <w:link w:val="8"/>
    <w:qFormat/>
    <w:uiPriority w:val="0"/>
    <w:rPr>
      <w:rFonts w:ascii="Arial" w:hAnsi="Arial" w:eastAsia="黑体"/>
      <w:b/>
      <w:bCs/>
      <w:kern w:val="2"/>
      <w:sz w:val="28"/>
      <w:szCs w:val="28"/>
      <w:lang w:val="en-US" w:eastAsia="zh-CN" w:bidi="ar-SA"/>
    </w:rPr>
  </w:style>
  <w:style w:type="character" w:customStyle="1" w:styleId="37">
    <w:name w:val="标题 2 Char"/>
    <w:link w:val="6"/>
    <w:qFormat/>
    <w:uiPriority w:val="0"/>
    <w:rPr>
      <w:rFonts w:ascii="Arial" w:hAnsi="Arial" w:eastAsia="黑体"/>
      <w:b/>
      <w:bCs/>
      <w:kern w:val="2"/>
      <w:sz w:val="32"/>
      <w:szCs w:val="32"/>
      <w:lang w:val="en-US" w:eastAsia="zh-CN" w:bidi="ar-SA"/>
    </w:rPr>
  </w:style>
  <w:style w:type="character" w:customStyle="1" w:styleId="38">
    <w:name w:val="font61"/>
    <w:basedOn w:val="28"/>
    <w:qFormat/>
    <w:uiPriority w:val="0"/>
    <w:rPr>
      <w:rFonts w:hint="default" w:ascii="Times New Roman" w:hAnsi="Times New Roman" w:cs="Times New Roman"/>
      <w:color w:val="000000"/>
      <w:sz w:val="16"/>
      <w:szCs w:val="16"/>
      <w:u w:val="none"/>
    </w:rPr>
  </w:style>
  <w:style w:type="character" w:customStyle="1" w:styleId="39">
    <w:name w:val="font41"/>
    <w:basedOn w:val="28"/>
    <w:qFormat/>
    <w:uiPriority w:val="0"/>
    <w:rPr>
      <w:rFonts w:hint="eastAsia" w:ascii="宋体" w:hAnsi="宋体" w:eastAsia="宋体" w:cs="宋体"/>
      <w:color w:val="000000"/>
      <w:sz w:val="16"/>
      <w:szCs w:val="16"/>
      <w:u w:val="none"/>
    </w:rPr>
  </w:style>
  <w:style w:type="character" w:customStyle="1" w:styleId="40">
    <w:name w:val="标题 9 Char"/>
    <w:link w:val="13"/>
    <w:qFormat/>
    <w:uiPriority w:val="0"/>
    <w:rPr>
      <w:rFonts w:ascii="Arial" w:hAnsi="Arial" w:eastAsia="黑体"/>
      <w:kern w:val="2"/>
      <w:sz w:val="21"/>
      <w:szCs w:val="21"/>
      <w:lang w:val="en-US" w:eastAsia="zh-CN" w:bidi="ar-SA"/>
    </w:rPr>
  </w:style>
  <w:style w:type="character" w:customStyle="1" w:styleId="41">
    <w:name w:val="font01"/>
    <w:basedOn w:val="28"/>
    <w:qFormat/>
    <w:uiPriority w:val="0"/>
    <w:rPr>
      <w:rFonts w:hint="default" w:ascii="Times New Roman" w:hAnsi="Times New Roman" w:cs="Times New Roman"/>
      <w:color w:val="000000"/>
      <w:sz w:val="16"/>
      <w:szCs w:val="16"/>
      <w:u w:val="none"/>
    </w:rPr>
  </w:style>
  <w:style w:type="character" w:customStyle="1" w:styleId="42">
    <w:name w:val="标题 5 Char"/>
    <w:link w:val="9"/>
    <w:qFormat/>
    <w:uiPriority w:val="0"/>
    <w:rPr>
      <w:rFonts w:eastAsia="宋体"/>
      <w:b/>
      <w:bCs/>
      <w:kern w:val="2"/>
      <w:sz w:val="28"/>
      <w:szCs w:val="28"/>
      <w:lang w:val="en-US" w:eastAsia="zh-CN" w:bidi="ar-SA"/>
    </w:rPr>
  </w:style>
  <w:style w:type="character" w:customStyle="1" w:styleId="43">
    <w:name w:val="font131"/>
    <w:basedOn w:val="28"/>
    <w:qFormat/>
    <w:uiPriority w:val="0"/>
    <w:rPr>
      <w:rFonts w:hint="eastAsia" w:ascii="宋体" w:hAnsi="宋体" w:eastAsia="宋体" w:cs="宋体"/>
      <w:color w:val="000000"/>
      <w:sz w:val="16"/>
      <w:szCs w:val="16"/>
      <w:u w:val="none"/>
    </w:rPr>
  </w:style>
  <w:style w:type="character" w:customStyle="1" w:styleId="44">
    <w:name w:val="font51"/>
    <w:basedOn w:val="28"/>
    <w:qFormat/>
    <w:uiPriority w:val="0"/>
    <w:rPr>
      <w:rFonts w:hint="default" w:ascii="Times New Roman" w:hAnsi="Times New Roman" w:cs="Times New Roman"/>
      <w:color w:val="000000"/>
      <w:sz w:val="16"/>
      <w:szCs w:val="16"/>
      <w:u w:val="none"/>
    </w:rPr>
  </w:style>
  <w:style w:type="character" w:customStyle="1" w:styleId="45">
    <w:name w:val="标题 6 Char"/>
    <w:link w:val="10"/>
    <w:qFormat/>
    <w:uiPriority w:val="0"/>
    <w:rPr>
      <w:rFonts w:ascii="Arial" w:hAnsi="Arial" w:eastAsia="黑体"/>
      <w:b/>
      <w:bCs/>
      <w:kern w:val="2"/>
      <w:sz w:val="24"/>
      <w:szCs w:val="24"/>
      <w:lang w:val="en-US" w:eastAsia="zh-CN" w:bidi="ar-SA"/>
    </w:rPr>
  </w:style>
  <w:style w:type="character" w:customStyle="1" w:styleId="46">
    <w:name w:val="font71"/>
    <w:basedOn w:val="28"/>
    <w:qFormat/>
    <w:uiPriority w:val="0"/>
    <w:rPr>
      <w:rFonts w:hint="eastAsia" w:ascii="宋体" w:hAnsi="宋体" w:eastAsia="宋体" w:cs="宋体"/>
      <w:color w:val="000000"/>
      <w:sz w:val="16"/>
      <w:szCs w:val="16"/>
      <w:u w:val="none"/>
    </w:rPr>
  </w:style>
  <w:style w:type="character" w:customStyle="1" w:styleId="47">
    <w:name w:val="Heading 2 Char"/>
    <w:qFormat/>
    <w:locked/>
    <w:uiPriority w:val="0"/>
    <w:rPr>
      <w:rFonts w:ascii="Cambria" w:hAnsi="Cambria" w:eastAsia="宋体" w:cs="Times New Roman"/>
      <w:b/>
      <w:bCs/>
      <w:sz w:val="32"/>
      <w:szCs w:val="32"/>
    </w:rPr>
  </w:style>
  <w:style w:type="character" w:customStyle="1" w:styleId="48">
    <w:name w:val="标题 8 Char"/>
    <w:link w:val="12"/>
    <w:qFormat/>
    <w:uiPriority w:val="0"/>
    <w:rPr>
      <w:rFonts w:ascii="Arial" w:hAnsi="Arial" w:eastAsia="黑体"/>
      <w:kern w:val="2"/>
      <w:sz w:val="24"/>
      <w:szCs w:val="24"/>
      <w:lang w:val="en-US" w:eastAsia="zh-CN" w:bidi="ar-SA"/>
    </w:rPr>
  </w:style>
  <w:style w:type="character" w:customStyle="1" w:styleId="49">
    <w:name w:val="apple-converted-space"/>
    <w:qFormat/>
    <w:uiPriority w:val="0"/>
    <w:rPr>
      <w:rFonts w:cs="Times New Roman"/>
    </w:rPr>
  </w:style>
  <w:style w:type="character" w:customStyle="1" w:styleId="50">
    <w:name w:val="font91"/>
    <w:basedOn w:val="28"/>
    <w:qFormat/>
    <w:uiPriority w:val="0"/>
    <w:rPr>
      <w:rFonts w:hint="default" w:ascii="Times New Roman" w:hAnsi="Times New Roman" w:cs="Times New Roman"/>
      <w:color w:val="000000"/>
      <w:sz w:val="16"/>
      <w:szCs w:val="16"/>
      <w:u w:val="none"/>
    </w:rPr>
  </w:style>
  <w:style w:type="character" w:customStyle="1" w:styleId="51">
    <w:name w:val="批注框文本 Char"/>
    <w:link w:val="20"/>
    <w:qFormat/>
    <w:uiPriority w:val="0"/>
    <w:rPr>
      <w:rFonts w:eastAsia="宋体"/>
      <w:kern w:val="2"/>
      <w:sz w:val="18"/>
      <w:szCs w:val="18"/>
      <w:lang w:val="en-US" w:eastAsia="zh-CN" w:bidi="ar-SA"/>
    </w:rPr>
  </w:style>
  <w:style w:type="character" w:customStyle="1" w:styleId="52">
    <w:name w:val="hover23"/>
    <w:basedOn w:val="28"/>
    <w:qFormat/>
    <w:uiPriority w:val="0"/>
    <w:rPr>
      <w:color w:val="000000"/>
      <w:shd w:val="clear" w:color="auto" w:fill="FFFFFF"/>
    </w:rPr>
  </w:style>
  <w:style w:type="character" w:customStyle="1" w:styleId="53">
    <w:name w:val="font21"/>
    <w:basedOn w:val="28"/>
    <w:qFormat/>
    <w:uiPriority w:val="0"/>
    <w:rPr>
      <w:rFonts w:hint="eastAsia" w:ascii="宋体" w:hAnsi="宋体" w:eastAsia="宋体" w:cs="宋体"/>
      <w:color w:val="000000"/>
      <w:sz w:val="16"/>
      <w:szCs w:val="16"/>
      <w:u w:val="none"/>
    </w:rPr>
  </w:style>
  <w:style w:type="character" w:customStyle="1" w:styleId="54">
    <w:name w:val="wx-space1"/>
    <w:basedOn w:val="28"/>
    <w:qFormat/>
    <w:uiPriority w:val="0"/>
  </w:style>
  <w:style w:type="character" w:customStyle="1" w:styleId="55">
    <w:name w:val="标题 3 Char"/>
    <w:link w:val="7"/>
    <w:qFormat/>
    <w:uiPriority w:val="0"/>
    <w:rPr>
      <w:rFonts w:eastAsia="宋体"/>
      <w:b/>
      <w:bCs/>
      <w:kern w:val="2"/>
      <w:sz w:val="32"/>
      <w:szCs w:val="32"/>
      <w:lang w:val="en-US" w:eastAsia="zh-CN" w:bidi="ar-SA"/>
    </w:rPr>
  </w:style>
  <w:style w:type="character" w:customStyle="1" w:styleId="56">
    <w:name w:val="标题 7 Char"/>
    <w:link w:val="11"/>
    <w:qFormat/>
    <w:uiPriority w:val="0"/>
    <w:rPr>
      <w:rFonts w:eastAsia="宋体"/>
      <w:b/>
      <w:bCs/>
      <w:kern w:val="2"/>
      <w:sz w:val="24"/>
      <w:szCs w:val="24"/>
      <w:lang w:val="en-US" w:eastAsia="zh-CN" w:bidi="ar-SA"/>
    </w:rPr>
  </w:style>
  <w:style w:type="character" w:customStyle="1" w:styleId="57">
    <w:name w:val="wx-space"/>
    <w:basedOn w:val="28"/>
    <w:qFormat/>
    <w:uiPriority w:val="0"/>
  </w:style>
  <w:style w:type="character" w:customStyle="1" w:styleId="58">
    <w:name w:val="标题 1 Char"/>
    <w:link w:val="5"/>
    <w:qFormat/>
    <w:uiPriority w:val="0"/>
    <w:rPr>
      <w:rFonts w:eastAsia="宋体"/>
      <w:b/>
      <w:bCs/>
      <w:kern w:val="44"/>
      <w:sz w:val="44"/>
      <w:szCs w:val="44"/>
      <w:lang w:val="en-US" w:eastAsia="zh-CN" w:bidi="ar-SA"/>
    </w:rPr>
  </w:style>
  <w:style w:type="character" w:customStyle="1" w:styleId="59">
    <w:name w:val="批注主题 Char"/>
    <w:link w:val="24"/>
    <w:qFormat/>
    <w:uiPriority w:val="0"/>
    <w:rPr>
      <w:rFonts w:eastAsia="宋体"/>
      <w:b/>
      <w:bCs/>
      <w:kern w:val="2"/>
      <w:sz w:val="21"/>
      <w:szCs w:val="24"/>
      <w:lang w:val="en-US" w:eastAsia="zh-CN" w:bidi="ar-SA"/>
    </w:rPr>
  </w:style>
  <w:style w:type="character" w:customStyle="1" w:styleId="60">
    <w:name w:val="批注文字 Char"/>
    <w:link w:val="15"/>
    <w:qFormat/>
    <w:uiPriority w:val="0"/>
    <w:rPr>
      <w:rFonts w:eastAsia="宋体"/>
      <w:kern w:val="2"/>
      <w:sz w:val="21"/>
      <w:szCs w:val="24"/>
      <w:lang w:val="en-US" w:eastAsia="zh-CN" w:bidi="ar-SA"/>
    </w:rPr>
  </w:style>
  <w:style w:type="character" w:customStyle="1" w:styleId="61">
    <w:name w:val="hover25"/>
    <w:basedOn w:val="28"/>
    <w:qFormat/>
    <w:uiPriority w:val="0"/>
    <w:rPr>
      <w:color w:val="000000"/>
      <w:shd w:val="clear" w:color="auto" w:fill="FFFFFF"/>
    </w:rPr>
  </w:style>
  <w:style w:type="paragraph" w:customStyle="1" w:styleId="62">
    <w:name w:val="1111"/>
    <w:basedOn w:val="1"/>
    <w:qFormat/>
    <w:uiPriority w:val="0"/>
    <w:pPr>
      <w:spacing w:line="360" w:lineRule="auto"/>
      <w:ind w:firstLine="200" w:firstLineChars="200"/>
    </w:pPr>
    <w:rPr>
      <w:rFonts w:eastAsia="仿宋_GB2312"/>
      <w:sz w:val="24"/>
    </w:rPr>
  </w:style>
  <w:style w:type="paragraph" w:styleId="63">
    <w:name w:val="List Paragraph"/>
    <w:basedOn w:val="1"/>
    <w:qFormat/>
    <w:uiPriority w:val="0"/>
    <w:pPr>
      <w:ind w:firstLine="420" w:firstLineChars="200"/>
    </w:pPr>
  </w:style>
  <w:style w:type="character" w:customStyle="1" w:styleId="64">
    <w:name w:val="font31"/>
    <w:basedOn w:val="28"/>
    <w:qFormat/>
    <w:uiPriority w:val="0"/>
    <w:rPr>
      <w:rFonts w:hint="default" w:ascii="Times New Roman" w:hAnsi="Times New Roman" w:cs="Times New Roman"/>
      <w:color w:val="000000"/>
      <w:sz w:val="21"/>
      <w:szCs w:val="21"/>
      <w:u w:val="none"/>
    </w:rPr>
  </w:style>
  <w:style w:type="character" w:customStyle="1" w:styleId="65">
    <w:name w:val="font11"/>
    <w:basedOn w:val="28"/>
    <w:qFormat/>
    <w:uiPriority w:val="0"/>
    <w:rPr>
      <w:rFonts w:hint="eastAsia" w:ascii="宋体" w:hAnsi="宋体" w:eastAsia="宋体" w:cs="宋体"/>
      <w:color w:val="000000"/>
      <w:sz w:val="24"/>
      <w:szCs w:val="24"/>
      <w:u w:val="none"/>
    </w:rPr>
  </w:style>
  <w:style w:type="paragraph" w:customStyle="1" w:styleId="66">
    <w:name w:val="BodyText1I"/>
    <w:basedOn w:val="1"/>
    <w:qFormat/>
    <w:uiPriority w:val="99"/>
    <w:pPr>
      <w:snapToGrid w:val="0"/>
      <w:spacing w:line="360" w:lineRule="auto"/>
      <w:ind w:firstLine="420" w:firstLineChars="100"/>
    </w:pPr>
    <w:rPr>
      <w:rFonts w:ascii="Calibri" w:hAnsi="Calibri" w:eastAsia="宋体" w:cs="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8629</Words>
  <Characters>9521</Characters>
  <Lines>91</Lines>
  <Paragraphs>25</Paragraphs>
  <TotalTime>17</TotalTime>
  <ScaleCrop>false</ScaleCrop>
  <LinksUpToDate>false</LinksUpToDate>
  <CharactersWithSpaces>9649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2017-09-01T16:20:00Z</dcterms:created>
  <dc:creator>Administrator</dc:creator>
  <cp:lastModifiedBy>明明</cp:lastModifiedBy>
  <cp:lastPrinted>2018-11-17T19:43:00Z</cp:lastPrinted>
  <dcterms:modified xsi:type="dcterms:W3CDTF">2023-11-20T06:47:51Z</dcterms:modified>
  <dc:title>岳阳市2012-2017年</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DCECBF37DEE44C03A121C2FB07D0F48D</vt:lpwstr>
  </property>
</Properties>
</file>