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EECE1"/>
  <w:body>
    <w:p>
      <w:pPr>
        <w:spacing w:line="760" w:lineRule="exact"/>
        <w:jc w:val="both"/>
        <w:rPr>
          <w:rFonts w:hint="eastAsia" w:ascii="楷体_GB2312" w:hAnsi="宋体" w:eastAsia="楷体_GB2312"/>
          <w:b/>
          <w:sz w:val="32"/>
          <w:szCs w:val="32"/>
          <w:lang w:eastAsia="zh-CN"/>
        </w:rPr>
      </w:pPr>
    </w:p>
    <w:p>
      <w:pPr>
        <w:spacing w:line="760" w:lineRule="exact"/>
        <w:jc w:val="center"/>
        <w:rPr>
          <w:rFonts w:hint="eastAsia" w:ascii="楷体_GB2312" w:hAnsi="宋体" w:eastAsia="楷体_GB2312"/>
          <w:b/>
          <w:sz w:val="32"/>
          <w:szCs w:val="32"/>
          <w:lang w:eastAsia="zh-CN"/>
        </w:rPr>
      </w:pPr>
      <w:r>
        <w:rPr>
          <w:rFonts w:hint="eastAsia" w:ascii="楷体_GB2312" w:hAnsi="宋体" w:eastAsia="楷体_GB2312"/>
          <w:b/>
          <w:sz w:val="32"/>
          <w:szCs w:val="32"/>
          <w:lang w:val="en-US" w:eastAsia="zh-CN"/>
        </w:rPr>
        <w:t>云溪区2022年度两厂片区环卫绿化外包及管理费</w:t>
      </w:r>
    </w:p>
    <w:p>
      <w:pPr>
        <w:spacing w:line="1200" w:lineRule="exact"/>
        <w:ind w:firstLine="1027" w:firstLineChars="100"/>
        <w:rPr>
          <w:rFonts w:hint="eastAsia" w:ascii="楷体_GB2312" w:hAnsi="宋体" w:eastAsia="楷体_GB2312"/>
          <w:b/>
          <w:bCs/>
          <w:spacing w:val="152"/>
          <w:sz w:val="72"/>
          <w:szCs w:val="72"/>
        </w:rPr>
      </w:pPr>
      <w:r>
        <w:rPr>
          <w:rFonts w:hint="eastAsia" w:ascii="楷体_GB2312" w:hAnsi="宋体" w:eastAsia="楷体_GB2312"/>
          <w:b/>
          <w:bCs/>
          <w:spacing w:val="152"/>
          <w:sz w:val="72"/>
          <w:szCs w:val="72"/>
        </w:rPr>
        <w:t>绩效评价报告书</w:t>
      </w:r>
    </w:p>
    <w:p>
      <w:pPr>
        <w:spacing w:line="760" w:lineRule="exact"/>
        <w:jc w:val="center"/>
        <w:outlineLvl w:val="0"/>
        <w:rPr>
          <w:rFonts w:hint="eastAsia" w:ascii="楷体_GB2312" w:hAnsi="宋体" w:eastAsia="楷体_GB2312"/>
          <w:b/>
          <w:bCs/>
          <w:sz w:val="32"/>
          <w:szCs w:val="32"/>
          <w:lang w:eastAsia="zh-CN"/>
        </w:rPr>
      </w:pPr>
      <w:r>
        <w:rPr>
          <w:rFonts w:hint="eastAsia" w:ascii="楷体_GB2312" w:hAnsi="宋体" w:eastAsia="楷体_GB2312"/>
          <w:b/>
          <w:bCs/>
          <w:sz w:val="32"/>
          <w:szCs w:val="32"/>
        </w:rPr>
        <w:t xml:space="preserve">  </w:t>
      </w:r>
      <w:r>
        <w:rPr>
          <w:rFonts w:hint="eastAsia" w:ascii="楷体_GB2312" w:hAnsi="宋体" w:eastAsia="楷体_GB2312"/>
          <w:b/>
          <w:bCs/>
          <w:sz w:val="32"/>
          <w:szCs w:val="32"/>
          <w:lang w:eastAsia="zh-CN"/>
        </w:rPr>
        <w:t>湘公会司</w:t>
      </w:r>
      <w:r>
        <w:rPr>
          <w:rFonts w:hint="eastAsia" w:ascii="楷体_GB2312" w:hAnsi="宋体" w:eastAsia="楷体_GB2312"/>
          <w:b/>
          <w:bCs/>
          <w:sz w:val="32"/>
          <w:szCs w:val="32"/>
          <w:highlight w:val="none"/>
          <w:lang w:eastAsia="zh-CN"/>
        </w:rPr>
        <w:t>（</w:t>
      </w:r>
      <w:r>
        <w:rPr>
          <w:rFonts w:hint="eastAsia" w:ascii="楷体_GB2312" w:hAnsi="宋体" w:eastAsia="楷体_GB2312"/>
          <w:b/>
          <w:bCs/>
          <w:sz w:val="32"/>
          <w:szCs w:val="32"/>
          <w:highlight w:val="none"/>
          <w:lang w:val="en-US" w:eastAsia="zh-CN"/>
        </w:rPr>
        <w:t>绩）</w:t>
      </w:r>
      <w:r>
        <w:rPr>
          <w:rFonts w:hint="eastAsia" w:ascii="楷体_GB2312" w:hAnsi="宋体" w:eastAsia="楷体_GB2312"/>
          <w:b/>
          <w:bCs/>
          <w:sz w:val="32"/>
          <w:szCs w:val="32"/>
          <w:highlight w:val="none"/>
          <w:lang w:eastAsia="zh-CN"/>
        </w:rPr>
        <w:t>字[2023]第</w:t>
      </w:r>
      <w:r>
        <w:rPr>
          <w:rFonts w:hint="eastAsia" w:ascii="楷体_GB2312" w:hAnsi="宋体" w:eastAsia="楷体_GB2312"/>
          <w:b/>
          <w:bCs/>
          <w:sz w:val="32"/>
          <w:szCs w:val="32"/>
          <w:highlight w:val="none"/>
          <w:lang w:val="en-US" w:eastAsia="zh-CN"/>
        </w:rPr>
        <w:t>010</w:t>
      </w:r>
      <w:r>
        <w:rPr>
          <w:rFonts w:hint="eastAsia" w:ascii="楷体_GB2312" w:hAnsi="宋体" w:eastAsia="楷体_GB2312"/>
          <w:b/>
          <w:bCs/>
          <w:sz w:val="32"/>
          <w:szCs w:val="32"/>
          <w:lang w:eastAsia="zh-CN"/>
        </w:rPr>
        <w:t>号</w:t>
      </w:r>
    </w:p>
    <w:p>
      <w:pPr>
        <w:spacing w:line="760" w:lineRule="exact"/>
        <w:jc w:val="center"/>
        <w:rPr>
          <w:rFonts w:hint="eastAsia" w:ascii="楷体_GB2312" w:hAnsi="宋体" w:eastAsia="楷体_GB2312"/>
          <w:b/>
          <w:bCs/>
        </w:rPr>
      </w:pPr>
    </w:p>
    <w:p>
      <w:pPr>
        <w:spacing w:line="760" w:lineRule="exact"/>
        <w:jc w:val="center"/>
        <w:rPr>
          <w:rFonts w:hint="eastAsia" w:ascii="楷体_GB2312" w:hAnsi="宋体" w:eastAsia="楷体_GB2312"/>
          <w:b/>
          <w:bCs/>
        </w:rPr>
      </w:pPr>
    </w:p>
    <w:p>
      <w:pPr>
        <w:spacing w:line="760" w:lineRule="exact"/>
        <w:jc w:val="center"/>
        <w:rPr>
          <w:rFonts w:hint="eastAsia" w:ascii="楷体_GB2312" w:hAnsi="宋体" w:eastAsia="楷体_GB2312"/>
          <w:b/>
          <w:bCs/>
        </w:rPr>
      </w:pPr>
    </w:p>
    <w:p>
      <w:pPr>
        <w:spacing w:line="760" w:lineRule="exact"/>
        <w:rPr>
          <w:rFonts w:hint="eastAsia" w:ascii="楷体_GB2312" w:hAnsi="宋体" w:eastAsia="楷体_GB2312"/>
          <w:b/>
          <w:bCs/>
        </w:rPr>
      </w:pPr>
      <w:bookmarkStart w:id="0" w:name="_GoBack"/>
      <w:bookmarkEnd w:id="0"/>
    </w:p>
    <w:p>
      <w:pPr>
        <w:spacing w:line="760" w:lineRule="exact"/>
        <w:rPr>
          <w:rFonts w:hint="eastAsia" w:ascii="楷体_GB2312" w:hAnsi="宋体" w:eastAsia="楷体_GB2312"/>
          <w:b/>
          <w:bCs/>
        </w:rPr>
      </w:pPr>
    </w:p>
    <w:p>
      <w:pPr>
        <w:spacing w:line="760" w:lineRule="exact"/>
        <w:rPr>
          <w:rFonts w:hint="eastAsia" w:ascii="楷体_GB2312" w:hAnsi="宋体" w:eastAsia="楷体_GB2312"/>
          <w:b/>
          <w:bCs/>
        </w:rPr>
      </w:pPr>
    </w:p>
    <w:p>
      <w:pPr>
        <w:spacing w:line="760" w:lineRule="exact"/>
        <w:rPr>
          <w:rFonts w:hint="eastAsia" w:ascii="楷体_GB2312" w:hAnsi="宋体" w:eastAsia="楷体_GB2312"/>
          <w:b/>
          <w:bCs/>
        </w:rPr>
      </w:pPr>
    </w:p>
    <w:p>
      <w:pPr>
        <w:spacing w:line="760" w:lineRule="exact"/>
        <w:rPr>
          <w:rFonts w:hint="eastAsia" w:ascii="楷体_GB2312" w:hAnsi="宋体" w:eastAsia="楷体_GB2312"/>
          <w:b/>
          <w:bCs/>
        </w:rPr>
      </w:pPr>
    </w:p>
    <w:p>
      <w:pPr>
        <w:spacing w:line="760" w:lineRule="exact"/>
        <w:rPr>
          <w:rFonts w:hint="eastAsia" w:ascii="楷体_GB2312" w:hAnsi="宋体" w:eastAsia="楷体_GB2312"/>
          <w:b/>
          <w:bCs/>
        </w:rPr>
      </w:pPr>
    </w:p>
    <w:p>
      <w:pPr>
        <w:spacing w:line="760" w:lineRule="exact"/>
        <w:ind w:firstLine="2006" w:firstLineChars="500"/>
        <w:jc w:val="both"/>
        <w:outlineLvl w:val="0"/>
        <w:rPr>
          <w:rFonts w:hint="eastAsia" w:ascii="楷体_GB2312" w:hAnsi="宋体" w:eastAsia="楷体_GB2312"/>
          <w:b/>
          <w:bCs/>
          <w:spacing w:val="40"/>
          <w:sz w:val="32"/>
          <w:szCs w:val="32"/>
        </w:rPr>
      </w:pPr>
    </w:p>
    <w:p>
      <w:pPr>
        <w:spacing w:line="760" w:lineRule="exact"/>
        <w:ind w:firstLine="2006" w:firstLineChars="500"/>
        <w:jc w:val="both"/>
        <w:outlineLvl w:val="0"/>
        <w:rPr>
          <w:rFonts w:hint="eastAsia" w:ascii="楷体_GB2312" w:hAnsi="宋体" w:eastAsia="楷体_GB2312"/>
          <w:b/>
          <w:bCs/>
          <w:spacing w:val="40"/>
          <w:sz w:val="32"/>
          <w:szCs w:val="32"/>
        </w:rPr>
      </w:pPr>
    </w:p>
    <w:p>
      <w:pPr>
        <w:spacing w:line="760" w:lineRule="exact"/>
        <w:ind w:firstLine="2006" w:firstLineChars="500"/>
        <w:jc w:val="both"/>
        <w:outlineLvl w:val="0"/>
        <w:rPr>
          <w:rFonts w:hint="eastAsia" w:ascii="楷体_GB2312" w:hAnsi="宋体" w:eastAsia="楷体_GB2312"/>
          <w:b/>
          <w:bCs/>
          <w:spacing w:val="40"/>
          <w:sz w:val="32"/>
          <w:szCs w:val="32"/>
          <w:lang w:eastAsia="zh-CN"/>
        </w:rPr>
      </w:pPr>
      <w:r>
        <w:rPr>
          <w:rFonts w:hint="eastAsia" w:ascii="楷体_GB2312" w:hAnsi="宋体" w:eastAsia="楷体_GB2312"/>
          <w:b/>
          <w:bCs/>
          <w:spacing w:val="40"/>
          <w:sz w:val="32"/>
          <w:szCs w:val="32"/>
          <w:lang w:eastAsia="zh-CN"/>
        </w:rPr>
        <w:t>湖南公众会计师事务所有限公司</w:t>
      </w:r>
    </w:p>
    <w:p>
      <w:pPr>
        <w:spacing w:line="760" w:lineRule="exact"/>
        <w:jc w:val="center"/>
        <w:rPr>
          <w:rFonts w:hint="eastAsia" w:ascii="楷体_GB2312" w:hAnsi="宋体" w:eastAsia="楷体_GB2312"/>
          <w:b/>
          <w:bCs/>
          <w:sz w:val="32"/>
          <w:szCs w:val="32"/>
          <w:lang w:eastAsia="zh-CN"/>
        </w:rPr>
      </w:pPr>
      <w:r>
        <w:rPr>
          <w:rFonts w:hint="eastAsia" w:ascii="楷体_GB2312" w:hAnsi="宋体" w:eastAsia="楷体_GB2312"/>
          <w:b/>
          <w:bCs/>
          <w:sz w:val="32"/>
          <w:szCs w:val="32"/>
        </w:rPr>
        <w:t xml:space="preserve">  </w:t>
      </w:r>
      <w:r>
        <w:rPr>
          <w:rFonts w:hint="eastAsia" w:ascii="楷体_GB2312" w:hAnsi="宋体" w:eastAsia="楷体_GB2312"/>
          <w:b/>
          <w:bCs/>
          <w:sz w:val="32"/>
          <w:szCs w:val="32"/>
          <w:lang w:eastAsia="zh-CN"/>
        </w:rPr>
        <w:t>二〇二</w:t>
      </w:r>
      <w:r>
        <w:rPr>
          <w:rFonts w:hint="eastAsia" w:ascii="楷体_GB2312" w:hAnsi="宋体" w:eastAsia="楷体_GB2312"/>
          <w:b/>
          <w:bCs/>
          <w:sz w:val="32"/>
          <w:szCs w:val="32"/>
          <w:lang w:val="en-US" w:eastAsia="zh-CN"/>
        </w:rPr>
        <w:t>三</w:t>
      </w:r>
      <w:r>
        <w:rPr>
          <w:rFonts w:hint="eastAsia" w:ascii="楷体_GB2312" w:hAnsi="宋体" w:eastAsia="楷体_GB2312"/>
          <w:b/>
          <w:bCs/>
          <w:sz w:val="32"/>
          <w:szCs w:val="32"/>
          <w:lang w:eastAsia="zh-CN"/>
        </w:rPr>
        <w:t>年</w:t>
      </w:r>
      <w:r>
        <w:rPr>
          <w:rFonts w:hint="eastAsia" w:ascii="楷体_GB2312" w:hAnsi="宋体" w:eastAsia="楷体_GB2312"/>
          <w:b/>
          <w:bCs/>
          <w:sz w:val="32"/>
          <w:szCs w:val="32"/>
          <w:lang w:val="en-US" w:eastAsia="zh-CN"/>
        </w:rPr>
        <w:t>八</w:t>
      </w:r>
      <w:r>
        <w:rPr>
          <w:rFonts w:hint="eastAsia" w:ascii="楷体_GB2312" w:hAnsi="宋体" w:eastAsia="楷体_GB2312"/>
          <w:b/>
          <w:bCs/>
          <w:sz w:val="32"/>
          <w:szCs w:val="32"/>
          <w:lang w:eastAsia="zh-CN"/>
        </w:rPr>
        <w:t>月</w:t>
      </w:r>
    </w:p>
    <w:p>
      <w:pPr>
        <w:spacing w:line="800" w:lineRule="exact"/>
        <w:ind w:firstLine="1066" w:firstLineChars="295"/>
        <w:rPr>
          <w:rFonts w:hint="eastAsia" w:ascii="黑体" w:hAnsi="黑体" w:eastAsia="黑体"/>
          <w:b/>
          <w:bCs/>
          <w:sz w:val="36"/>
          <w:szCs w:val="36"/>
        </w:rPr>
        <w:sectPr>
          <w:headerReference r:id="rId4" w:type="first"/>
          <w:footerReference r:id="rId5" w:type="first"/>
          <w:headerReference r:id="rId3" w:type="default"/>
          <w:pgSz w:w="11906" w:h="16838"/>
          <w:pgMar w:top="1440" w:right="1644" w:bottom="1247" w:left="1644" w:header="851" w:footer="992" w:gutter="0"/>
          <w:pgNumType w:fmt="decimal"/>
          <w:cols w:space="720" w:num="1"/>
          <w:titlePg/>
          <w:docGrid w:type="lines" w:linePitch="312" w:charSpace="0"/>
        </w:sectPr>
      </w:pPr>
    </w:p>
    <w:p>
      <w:pPr>
        <w:spacing w:line="800" w:lineRule="exact"/>
        <w:ind w:firstLine="964" w:firstLineChars="300"/>
        <w:rPr>
          <w:rFonts w:hint="eastAsia" w:ascii="楷体_GB2312" w:hAnsi="宋体" w:eastAsia="楷体_GB2312"/>
          <w:b/>
          <w:sz w:val="32"/>
          <w:szCs w:val="32"/>
          <w:lang w:val="en-US" w:eastAsia="zh-CN"/>
        </w:rPr>
      </w:pPr>
      <w:r>
        <w:rPr>
          <w:rFonts w:hint="eastAsia" w:ascii="楷体_GB2312" w:hAnsi="宋体" w:eastAsia="楷体_GB2312"/>
          <w:b/>
          <w:sz w:val="32"/>
          <w:szCs w:val="32"/>
          <w:lang w:val="en-US" w:eastAsia="zh-CN"/>
        </w:rPr>
        <w:t>云溪区2022年度两厂片区环卫绿化外包及管理费</w:t>
      </w:r>
    </w:p>
    <w:p>
      <w:pPr>
        <w:spacing w:line="800" w:lineRule="exact"/>
        <w:ind w:firstLine="2891" w:firstLineChars="800"/>
        <w:rPr>
          <w:rFonts w:hint="eastAsia" w:ascii="楷体" w:hAnsi="楷体" w:eastAsia="楷体" w:cs="楷体"/>
          <w:b/>
          <w:bCs/>
          <w:sz w:val="36"/>
          <w:szCs w:val="36"/>
        </w:rPr>
      </w:pPr>
      <w:r>
        <w:rPr>
          <w:rFonts w:hint="eastAsia" w:ascii="楷体" w:hAnsi="楷体" w:eastAsia="楷体" w:cs="楷体"/>
          <w:b/>
          <w:bCs/>
          <w:sz w:val="36"/>
          <w:szCs w:val="36"/>
          <w:lang w:eastAsia="zh-CN"/>
        </w:rPr>
        <w:t>重点</w:t>
      </w:r>
      <w:r>
        <w:rPr>
          <w:rFonts w:hint="eastAsia" w:ascii="楷体" w:hAnsi="楷体" w:eastAsia="楷体" w:cs="楷体"/>
          <w:b/>
          <w:bCs/>
          <w:sz w:val="36"/>
          <w:szCs w:val="36"/>
        </w:rPr>
        <w:t>绩效评价报告</w:t>
      </w:r>
    </w:p>
    <w:p>
      <w:pPr>
        <w:spacing w:line="800" w:lineRule="exact"/>
        <w:rPr>
          <w:rFonts w:hint="eastAsia" w:ascii="楷体" w:hAnsi="楷体" w:eastAsia="楷体" w:cs="楷体"/>
          <w:b/>
          <w:sz w:val="36"/>
          <w:szCs w:val="36"/>
        </w:rPr>
      </w:pPr>
    </w:p>
    <w:p>
      <w:pPr>
        <w:spacing w:line="800" w:lineRule="exact"/>
        <w:ind w:firstLine="1205" w:firstLineChars="400"/>
        <w:rPr>
          <w:rFonts w:hint="eastAsia" w:ascii="楷体" w:hAnsi="楷体" w:eastAsia="楷体" w:cs="楷体"/>
          <w:b/>
          <w:bCs w:val="0"/>
          <w:sz w:val="30"/>
          <w:szCs w:val="30"/>
        </w:rPr>
      </w:pPr>
    </w:p>
    <w:p>
      <w:pPr>
        <w:spacing w:line="800" w:lineRule="exact"/>
        <w:ind w:firstLine="1488" w:firstLineChars="494"/>
        <w:rPr>
          <w:rFonts w:hint="eastAsia" w:ascii="楷体" w:hAnsi="楷体" w:eastAsia="楷体" w:cs="楷体"/>
          <w:b/>
          <w:bCs w:val="0"/>
          <w:sz w:val="30"/>
          <w:szCs w:val="30"/>
          <w:lang w:eastAsia="zh-CN"/>
        </w:rPr>
      </w:pPr>
      <w:r>
        <w:rPr>
          <w:rFonts w:hint="eastAsia" w:ascii="楷体" w:hAnsi="楷体" w:eastAsia="楷体" w:cs="楷体"/>
          <w:b/>
          <w:bCs w:val="0"/>
          <w:sz w:val="30"/>
          <w:szCs w:val="30"/>
        </w:rPr>
        <w:t xml:space="preserve">项目名称 </w:t>
      </w:r>
      <w:r>
        <w:rPr>
          <w:rFonts w:hint="eastAsia" w:ascii="楷体" w:hAnsi="楷体" w:eastAsia="楷体" w:cs="楷体"/>
          <w:b/>
          <w:bCs w:val="0"/>
          <w:sz w:val="30"/>
          <w:szCs w:val="30"/>
          <w:lang w:val="en-US" w:eastAsia="zh-CN"/>
        </w:rPr>
        <w:t xml:space="preserve">  2022年度两厂片区环卫绿化外包及管理费</w:t>
      </w:r>
    </w:p>
    <w:p>
      <w:pPr>
        <w:spacing w:line="800" w:lineRule="exact"/>
        <w:ind w:firstLine="1488" w:firstLineChars="494"/>
        <w:rPr>
          <w:rFonts w:hint="eastAsia" w:ascii="楷体" w:hAnsi="楷体" w:eastAsia="楷体" w:cs="楷体"/>
          <w:b/>
          <w:bCs w:val="0"/>
          <w:sz w:val="30"/>
          <w:szCs w:val="30"/>
          <w:lang w:eastAsia="zh-CN"/>
        </w:rPr>
      </w:pPr>
      <w:r>
        <w:rPr>
          <w:rFonts w:hint="eastAsia" w:ascii="楷体" w:hAnsi="楷体" w:eastAsia="楷体" w:cs="楷体"/>
          <w:b/>
          <w:bCs w:val="0"/>
          <w:sz w:val="30"/>
          <w:szCs w:val="30"/>
        </w:rPr>
        <w:t xml:space="preserve">项目单位 </w:t>
      </w:r>
      <w:r>
        <w:rPr>
          <w:rFonts w:hint="eastAsia" w:ascii="楷体" w:hAnsi="楷体" w:eastAsia="楷体" w:cs="楷体"/>
          <w:b/>
          <w:bCs w:val="0"/>
          <w:sz w:val="30"/>
          <w:szCs w:val="30"/>
          <w:lang w:eastAsia="zh-CN"/>
        </w:rPr>
        <w:t xml:space="preserve">  岳阳市云溪区环卫绿化服务所</w:t>
      </w:r>
    </w:p>
    <w:p>
      <w:pPr>
        <w:spacing w:line="800" w:lineRule="exact"/>
        <w:ind w:firstLine="1488" w:firstLineChars="494"/>
        <w:rPr>
          <w:rFonts w:hint="eastAsia" w:ascii="楷体" w:hAnsi="楷体" w:eastAsia="楷体" w:cs="楷体"/>
          <w:b/>
          <w:bCs w:val="0"/>
          <w:sz w:val="30"/>
          <w:szCs w:val="30"/>
        </w:rPr>
      </w:pPr>
      <w:r>
        <w:rPr>
          <w:rFonts w:hint="eastAsia" w:ascii="楷体" w:hAnsi="楷体" w:eastAsia="楷体" w:cs="楷体"/>
          <w:b/>
          <w:bCs w:val="0"/>
          <w:sz w:val="30"/>
          <w:szCs w:val="30"/>
        </w:rPr>
        <w:t xml:space="preserve">委托单位   </w:t>
      </w:r>
      <w:r>
        <w:rPr>
          <w:rFonts w:hint="eastAsia" w:ascii="楷体" w:hAnsi="楷体" w:eastAsia="楷体" w:cs="楷体"/>
          <w:b/>
          <w:bCs w:val="0"/>
          <w:sz w:val="30"/>
          <w:szCs w:val="30"/>
          <w:lang w:val="en-US" w:eastAsia="zh-CN"/>
        </w:rPr>
        <w:t>云溪区财政局</w:t>
      </w:r>
    </w:p>
    <w:p>
      <w:pPr>
        <w:spacing w:line="800" w:lineRule="exact"/>
        <w:ind w:firstLine="1488" w:firstLineChars="494"/>
        <w:rPr>
          <w:rFonts w:hint="eastAsia" w:ascii="楷体" w:hAnsi="楷体" w:eastAsia="楷体" w:cs="楷体"/>
          <w:b/>
          <w:bCs w:val="0"/>
          <w:sz w:val="32"/>
          <w:szCs w:val="32"/>
        </w:rPr>
      </w:pPr>
      <w:r>
        <w:rPr>
          <w:rFonts w:hint="eastAsia" w:ascii="楷体" w:hAnsi="楷体" w:eastAsia="楷体" w:cs="楷体"/>
          <w:b/>
          <w:bCs w:val="0"/>
          <w:sz w:val="30"/>
          <w:szCs w:val="30"/>
        </w:rPr>
        <w:t xml:space="preserve">评价机构   </w:t>
      </w:r>
      <w:r>
        <w:rPr>
          <w:rFonts w:hint="eastAsia" w:ascii="楷体" w:hAnsi="楷体" w:eastAsia="楷体" w:cs="楷体"/>
          <w:b/>
          <w:bCs w:val="0"/>
          <w:sz w:val="30"/>
          <w:szCs w:val="30"/>
          <w:lang w:eastAsia="zh-CN"/>
        </w:rPr>
        <w:t>湖南公众会计师事务所有限公司</w:t>
      </w:r>
      <w:r>
        <w:rPr>
          <w:rFonts w:hint="eastAsia" w:ascii="楷体" w:hAnsi="楷体" w:eastAsia="楷体" w:cs="楷体"/>
          <w:b/>
          <w:bCs w:val="0"/>
          <w:sz w:val="30"/>
          <w:szCs w:val="30"/>
        </w:rPr>
        <w:t xml:space="preserve"> </w:t>
      </w:r>
      <w:r>
        <w:rPr>
          <w:rFonts w:hint="eastAsia" w:ascii="楷体" w:hAnsi="楷体" w:eastAsia="楷体" w:cs="楷体"/>
          <w:b/>
          <w:bCs w:val="0"/>
          <w:sz w:val="32"/>
          <w:szCs w:val="32"/>
        </w:rPr>
        <w:t xml:space="preserve"> </w:t>
      </w:r>
    </w:p>
    <w:p>
      <w:pPr>
        <w:spacing w:line="800" w:lineRule="exact"/>
        <w:ind w:firstLine="1476" w:firstLineChars="490"/>
        <w:rPr>
          <w:rFonts w:hint="eastAsia" w:ascii="楷体" w:hAnsi="楷体" w:eastAsia="楷体" w:cs="楷体"/>
          <w:b/>
          <w:bCs w:val="0"/>
          <w:sz w:val="30"/>
          <w:szCs w:val="30"/>
        </w:rPr>
      </w:pPr>
    </w:p>
    <w:p>
      <w:pPr>
        <w:pStyle w:val="34"/>
        <w:rPr>
          <w:rFonts w:hint="eastAsia" w:ascii="楷体" w:hAnsi="楷体" w:eastAsia="楷体" w:cs="楷体"/>
          <w:b/>
          <w:sz w:val="24"/>
        </w:rPr>
      </w:pPr>
    </w:p>
    <w:p>
      <w:pPr>
        <w:pStyle w:val="34"/>
        <w:rPr>
          <w:rFonts w:hint="eastAsia" w:ascii="楷体" w:hAnsi="楷体" w:eastAsia="楷体" w:cs="楷体"/>
          <w:b/>
          <w:sz w:val="24"/>
        </w:rPr>
      </w:pPr>
    </w:p>
    <w:p>
      <w:pPr>
        <w:spacing w:line="800" w:lineRule="exact"/>
        <w:ind w:firstLine="1446" w:firstLineChars="600"/>
        <w:rPr>
          <w:rFonts w:hint="eastAsia" w:ascii="楷体" w:hAnsi="楷体" w:eastAsia="楷体" w:cs="楷体"/>
          <w:b/>
          <w:sz w:val="24"/>
        </w:rPr>
      </w:pPr>
      <w:r>
        <w:rPr>
          <w:rFonts w:hint="eastAsia" w:ascii="楷体" w:hAnsi="楷体" w:eastAsia="楷体" w:cs="楷体"/>
          <w:b/>
          <w:sz w:val="24"/>
        </w:rPr>
        <w:t>评价类型 事前评价□ 事中评价□ 事后评价</w:t>
      </w:r>
      <w:r>
        <w:rPr>
          <w:rFonts w:hint="eastAsia" w:ascii="楷体" w:hAnsi="楷体" w:eastAsia="楷体" w:cs="楷体"/>
          <w:b/>
          <w:sz w:val="24"/>
          <w:bdr w:val="single" w:color="auto" w:sz="4" w:space="0"/>
        </w:rPr>
        <w:t>√</w:t>
      </w:r>
    </w:p>
    <w:p>
      <w:pPr>
        <w:spacing w:line="800" w:lineRule="exact"/>
        <w:ind w:firstLine="1446" w:firstLineChars="600"/>
        <w:rPr>
          <w:rFonts w:hint="eastAsia" w:ascii="楷体" w:hAnsi="楷体" w:eastAsia="楷体" w:cs="楷体"/>
          <w:b/>
          <w:sz w:val="24"/>
        </w:rPr>
      </w:pPr>
      <w:r>
        <w:rPr>
          <w:rFonts w:hint="eastAsia" w:ascii="楷体" w:hAnsi="楷体" w:eastAsia="楷体" w:cs="楷体"/>
          <w:b/>
          <w:sz w:val="24"/>
        </w:rPr>
        <w:t>评价方式：部门（单位绩效自评□ 财政部门组织评价</w:t>
      </w:r>
      <w:r>
        <w:rPr>
          <w:rFonts w:hint="eastAsia" w:ascii="楷体" w:hAnsi="楷体" w:eastAsia="楷体" w:cs="楷体"/>
          <w:b/>
          <w:sz w:val="24"/>
          <w:bdr w:val="single" w:color="auto" w:sz="4" w:space="0"/>
        </w:rPr>
        <w:t>√</w:t>
      </w:r>
    </w:p>
    <w:p>
      <w:pPr>
        <w:spacing w:line="800" w:lineRule="exact"/>
        <w:ind w:firstLine="1446" w:firstLineChars="600"/>
        <w:rPr>
          <w:rFonts w:hint="eastAsia" w:ascii="楷体" w:hAnsi="楷体" w:eastAsia="楷体" w:cs="楷体"/>
          <w:b/>
          <w:sz w:val="24"/>
        </w:rPr>
      </w:pPr>
      <w:r>
        <w:rPr>
          <w:rFonts w:hint="eastAsia" w:ascii="楷体" w:hAnsi="楷体" w:eastAsia="楷体" w:cs="楷体"/>
          <w:b/>
          <w:sz w:val="24"/>
        </w:rPr>
        <w:t>评价机构：中介机构</w:t>
      </w:r>
      <w:r>
        <w:rPr>
          <w:rFonts w:hint="eastAsia" w:ascii="楷体" w:hAnsi="楷体" w:eastAsia="楷体" w:cs="楷体"/>
          <w:b/>
          <w:sz w:val="24"/>
          <w:bdr w:val="single" w:color="auto" w:sz="4" w:space="0"/>
        </w:rPr>
        <w:t>√</w:t>
      </w:r>
      <w:r>
        <w:rPr>
          <w:rFonts w:hint="eastAsia" w:ascii="楷体" w:hAnsi="楷体" w:eastAsia="楷体" w:cs="楷体"/>
          <w:b/>
          <w:sz w:val="24"/>
        </w:rPr>
        <w:t xml:space="preserve"> 部门（单位评价组□财政评价组□</w:t>
      </w:r>
    </w:p>
    <w:p>
      <w:pPr>
        <w:spacing w:line="800" w:lineRule="exact"/>
        <w:rPr>
          <w:rFonts w:hint="eastAsia" w:ascii="楷体" w:hAnsi="楷体" w:eastAsia="楷体" w:cs="楷体"/>
          <w:b/>
          <w:sz w:val="24"/>
        </w:rPr>
      </w:pPr>
    </w:p>
    <w:p>
      <w:pPr>
        <w:spacing w:line="348" w:lineRule="auto"/>
        <w:jc w:val="both"/>
        <w:rPr>
          <w:rFonts w:hint="eastAsia" w:ascii="楷体" w:hAnsi="楷体" w:eastAsia="楷体" w:cs="楷体"/>
          <w:sz w:val="28"/>
          <w:szCs w:val="28"/>
        </w:rPr>
      </w:pPr>
      <w:r>
        <w:rPr>
          <w:rFonts w:hint="eastAsia" w:ascii="楷体" w:hAnsi="楷体" w:eastAsia="楷体" w:cs="楷体"/>
          <w:sz w:val="28"/>
          <w:szCs w:val="28"/>
        </w:rPr>
        <w:t xml:space="preserve"> </w:t>
      </w:r>
    </w:p>
    <w:p>
      <w:pPr>
        <w:pStyle w:val="34"/>
        <w:rPr>
          <w:rFonts w:hint="eastAsia"/>
        </w:rPr>
      </w:pPr>
    </w:p>
    <w:p>
      <w:pPr>
        <w:spacing w:line="348" w:lineRule="auto"/>
        <w:ind w:firstLine="2530" w:firstLineChars="900"/>
        <w:jc w:val="both"/>
        <w:rPr>
          <w:rFonts w:hint="eastAsia" w:ascii="楷体" w:hAnsi="楷体" w:eastAsia="楷体" w:cs="楷体"/>
          <w:b/>
          <w:sz w:val="18"/>
          <w:szCs w:val="18"/>
        </w:rPr>
      </w:pPr>
      <w:r>
        <w:rPr>
          <w:rFonts w:hint="eastAsia" w:ascii="楷体" w:hAnsi="楷体" w:eastAsia="楷体" w:cs="楷体"/>
          <w:b/>
          <w:sz w:val="28"/>
          <w:szCs w:val="28"/>
        </w:rPr>
        <w:t>评价时间：</w:t>
      </w:r>
      <w:r>
        <w:rPr>
          <w:rFonts w:hint="eastAsia" w:ascii="楷体" w:hAnsi="楷体" w:eastAsia="楷体" w:cs="楷体"/>
          <w:b/>
          <w:sz w:val="28"/>
          <w:szCs w:val="28"/>
          <w:lang w:eastAsia="zh-CN"/>
        </w:rPr>
        <w:t>二〇二三年</w:t>
      </w:r>
      <w:r>
        <w:rPr>
          <w:rFonts w:hint="eastAsia" w:ascii="楷体" w:hAnsi="楷体" w:eastAsia="楷体" w:cs="楷体"/>
          <w:b/>
          <w:sz w:val="28"/>
          <w:szCs w:val="28"/>
          <w:lang w:val="en-US" w:eastAsia="zh-CN"/>
        </w:rPr>
        <w:t>八</w:t>
      </w:r>
      <w:r>
        <w:rPr>
          <w:rFonts w:hint="eastAsia" w:ascii="楷体" w:hAnsi="楷体" w:eastAsia="楷体" w:cs="楷体"/>
          <w:b/>
          <w:sz w:val="28"/>
          <w:szCs w:val="28"/>
          <w:lang w:eastAsia="zh-CN"/>
        </w:rPr>
        <w:t>月</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clear" w:pos="1282"/>
        </w:tabs>
        <w:kinsoku/>
        <w:wordWrap/>
        <w:overflowPunct/>
        <w:topLinePunct w:val="0"/>
        <w:autoSpaceDE/>
        <w:autoSpaceDN/>
        <w:bidi w:val="0"/>
        <w:adjustRightInd w:val="0"/>
        <w:snapToGrid w:val="0"/>
        <w:spacing w:before="0" w:beforeAutospacing="0" w:after="0" w:afterAutospacing="0" w:line="360" w:lineRule="auto"/>
        <w:ind w:right="0" w:rightChars="0" w:firstLine="602" w:firstLineChars="200"/>
        <w:jc w:val="center"/>
        <w:textAlignment w:val="auto"/>
        <w:rPr>
          <w:rFonts w:hint="eastAsia" w:ascii="宋体" w:hAnsi="宋体" w:eastAsia="宋体" w:cs="宋体"/>
          <w:b/>
          <w:sz w:val="30"/>
          <w:szCs w:val="30"/>
          <w:lang w:val="en-US" w:eastAsia="zh-CN"/>
        </w:rPr>
      </w:pPr>
    </w:p>
    <w:p>
      <w:pPr>
        <w:rPr>
          <w:rFonts w:hint="eastAsia" w:ascii="宋体" w:hAnsi="宋体" w:eastAsia="宋体" w:cs="宋体"/>
          <w:b/>
          <w:sz w:val="30"/>
          <w:szCs w:val="30"/>
          <w:lang w:val="en-US" w:eastAsia="zh-CN"/>
        </w:rPr>
      </w:pPr>
    </w:p>
    <w:p>
      <w:pPr>
        <w:pStyle w:val="24"/>
        <w:rPr>
          <w:rFonts w:hint="eastAsia"/>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clear" w:pos="1282"/>
        </w:tabs>
        <w:kinsoku/>
        <w:wordWrap/>
        <w:overflowPunct/>
        <w:topLinePunct w:val="0"/>
        <w:autoSpaceDE/>
        <w:autoSpaceDN/>
        <w:bidi w:val="0"/>
        <w:adjustRightInd w:val="0"/>
        <w:snapToGrid w:val="0"/>
        <w:spacing w:before="0" w:beforeAutospacing="0" w:after="0" w:afterAutospacing="0" w:line="360" w:lineRule="auto"/>
        <w:ind w:right="0" w:rightChars="0" w:firstLine="602" w:firstLineChars="200"/>
        <w:jc w:val="center"/>
        <w:textAlignment w:val="auto"/>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t>目  录</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clear" w:pos="1282"/>
        </w:tabs>
        <w:kinsoku/>
        <w:wordWrap/>
        <w:overflowPunct/>
        <w:topLinePunct w:val="0"/>
        <w:autoSpaceDE/>
        <w:autoSpaceDN/>
        <w:bidi w:val="0"/>
        <w:adjustRightInd w:val="0"/>
        <w:snapToGrid w:val="0"/>
        <w:spacing w:before="0" w:beforeAutospacing="0" w:after="0" w:afterAutospacing="0" w:line="360" w:lineRule="auto"/>
        <w:ind w:right="0" w:rightChars="0" w:firstLine="482" w:firstLineChars="20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一、项目</w:t>
      </w:r>
      <w:r>
        <w:rPr>
          <w:rFonts w:hint="eastAsia" w:ascii="宋体" w:hAnsi="宋体" w:eastAsia="宋体" w:cs="宋体"/>
          <w:b/>
          <w:sz w:val="24"/>
          <w:szCs w:val="24"/>
          <w:lang w:eastAsia="zh-CN"/>
        </w:rPr>
        <w:t>概况</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一</w:t>
      </w:r>
      <w:r>
        <w:rPr>
          <w:rFonts w:hint="eastAsia" w:ascii="宋体" w:hAnsi="宋体" w:eastAsia="宋体" w:cs="宋体"/>
          <w:b w:val="0"/>
          <w:bCs/>
          <w:sz w:val="24"/>
          <w:szCs w:val="24"/>
        </w:rPr>
        <w:t>）项目评价依据</w:t>
      </w:r>
    </w:p>
    <w:p>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outlineLvl w:val="9"/>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（二）项目单位基本情况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480" w:firstLineChars="200"/>
        <w:textAlignment w:val="auto"/>
        <w:outlineLvl w:val="9"/>
        <w:rPr>
          <w:rFonts w:hint="eastAsia" w:ascii="宋体" w:hAnsi="宋体" w:eastAsia="宋体" w:cs="宋体"/>
          <w:b w:val="0"/>
          <w:bCs/>
          <w:sz w:val="24"/>
          <w:szCs w:val="24"/>
          <w:lang w:val="zh-CN"/>
        </w:rPr>
      </w:pPr>
      <w:r>
        <w:rPr>
          <w:rFonts w:hint="eastAsia" w:ascii="宋体" w:hAnsi="宋体" w:cs="宋体"/>
          <w:b w:val="0"/>
          <w:bCs/>
          <w:sz w:val="24"/>
          <w:szCs w:val="24"/>
          <w:lang w:val="zh-CN"/>
        </w:rPr>
        <w:t>（</w:t>
      </w:r>
      <w:r>
        <w:rPr>
          <w:rFonts w:hint="eastAsia" w:ascii="宋体" w:hAnsi="宋体" w:cs="宋体"/>
          <w:b w:val="0"/>
          <w:bCs/>
          <w:sz w:val="24"/>
          <w:szCs w:val="24"/>
          <w:lang w:val="en-US" w:eastAsia="zh-CN"/>
        </w:rPr>
        <w:t>三</w:t>
      </w:r>
      <w:r>
        <w:rPr>
          <w:rFonts w:hint="eastAsia" w:ascii="宋体" w:hAnsi="宋体" w:cs="宋体"/>
          <w:b w:val="0"/>
          <w:bCs/>
          <w:sz w:val="24"/>
          <w:szCs w:val="24"/>
          <w:lang w:val="zh-CN"/>
        </w:rPr>
        <w:t>）</w:t>
      </w:r>
      <w:r>
        <w:rPr>
          <w:rFonts w:hint="eastAsia" w:ascii="宋体" w:hAnsi="宋体" w:eastAsia="宋体" w:cs="宋体"/>
          <w:b w:val="0"/>
          <w:bCs/>
          <w:sz w:val="24"/>
          <w:szCs w:val="24"/>
          <w:lang w:val="zh-CN"/>
        </w:rPr>
        <w:t>项目基本情况</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（四）项目绩效目标及项目的主要内容</w:t>
      </w:r>
    </w:p>
    <w:p>
      <w:pPr>
        <w:keepNext w:val="0"/>
        <w:keepLines w:val="0"/>
        <w:pageBreakBefore w:val="0"/>
        <w:widowControl w:val="0"/>
        <w:kinsoku/>
        <w:wordWrap/>
        <w:overflowPunct/>
        <w:topLinePunct w:val="0"/>
        <w:bidi w:val="0"/>
        <w:snapToGrid/>
        <w:spacing w:line="240" w:lineRule="auto"/>
        <w:ind w:firstLine="720" w:firstLineChars="300"/>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1、项目总体目标</w:t>
      </w:r>
    </w:p>
    <w:p>
      <w:pPr>
        <w:keepNext w:val="0"/>
        <w:keepLines w:val="0"/>
        <w:pageBreakBefore w:val="0"/>
        <w:widowControl w:val="0"/>
        <w:kinsoku/>
        <w:wordWrap/>
        <w:overflowPunct/>
        <w:topLinePunct w:val="0"/>
        <w:bidi w:val="0"/>
        <w:snapToGrid/>
        <w:spacing w:line="240" w:lineRule="auto"/>
        <w:ind w:firstLine="720" w:firstLineChars="300"/>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eastAsia="zh-CN"/>
        </w:rPr>
        <w:t>具体目标</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（五）</w:t>
      </w:r>
      <w:r>
        <w:rPr>
          <w:rFonts w:hint="eastAsia" w:ascii="宋体" w:hAnsi="宋体" w:eastAsia="宋体" w:cs="宋体"/>
          <w:b w:val="0"/>
          <w:bCs/>
          <w:sz w:val="24"/>
          <w:szCs w:val="24"/>
        </w:rPr>
        <w:t>项目资金情况</w:t>
      </w:r>
    </w:p>
    <w:p>
      <w:pPr>
        <w:keepNext w:val="0"/>
        <w:keepLines w:val="0"/>
        <w:pageBreakBefore w:val="0"/>
        <w:widowControl w:val="0"/>
        <w:kinsoku/>
        <w:wordWrap/>
        <w:overflowPunct/>
        <w:topLinePunct w:val="0"/>
        <w:bidi w:val="0"/>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项目</w:t>
      </w:r>
      <w:r>
        <w:rPr>
          <w:rFonts w:hint="eastAsia" w:ascii="宋体" w:hAnsi="宋体" w:eastAsia="宋体" w:cs="宋体"/>
          <w:b w:val="0"/>
          <w:bCs/>
          <w:sz w:val="24"/>
          <w:szCs w:val="24"/>
          <w:lang w:eastAsia="zh-CN"/>
        </w:rPr>
        <w:t>预算</w:t>
      </w:r>
    </w:p>
    <w:p>
      <w:pPr>
        <w:keepNext w:val="0"/>
        <w:keepLines w:val="0"/>
        <w:pageBreakBefore w:val="0"/>
        <w:widowControl w:val="0"/>
        <w:kinsoku/>
        <w:wordWrap/>
        <w:overflowPunct/>
        <w:topLinePunct w:val="0"/>
        <w:bidi w:val="0"/>
        <w:snapToGrid/>
        <w:spacing w:line="240" w:lineRule="auto"/>
        <w:ind w:firstLine="720" w:firstLineChars="300"/>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资金来源和到位情况</w:t>
      </w:r>
    </w:p>
    <w:p>
      <w:pPr>
        <w:keepNext w:val="0"/>
        <w:keepLines w:val="0"/>
        <w:pageBreakBefore w:val="0"/>
        <w:widowControl w:val="0"/>
        <w:kinsoku/>
        <w:wordWrap/>
        <w:overflowPunct/>
        <w:topLinePunct w:val="0"/>
        <w:bidi w:val="0"/>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实际使用资金情况</w:t>
      </w:r>
    </w:p>
    <w:p>
      <w:pPr>
        <w:keepNext w:val="0"/>
        <w:keepLines w:val="0"/>
        <w:pageBreakBefore w:val="0"/>
        <w:widowControl w:val="0"/>
        <w:kinsoku/>
        <w:wordWrap/>
        <w:overflowPunct/>
        <w:topLinePunct w:val="0"/>
        <w:bidi w:val="0"/>
        <w:snapToGrid/>
        <w:spacing w:line="240" w:lineRule="auto"/>
        <w:ind w:firstLine="720" w:firstLineChars="300"/>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4、资金结余情况</w:t>
      </w:r>
    </w:p>
    <w:p>
      <w:pPr>
        <w:keepNext w:val="0"/>
        <w:keepLines w:val="0"/>
        <w:pageBreakBefore w:val="0"/>
        <w:widowControl w:val="0"/>
        <w:kinsoku/>
        <w:wordWrap/>
        <w:overflowPunct/>
        <w:topLinePunct w:val="0"/>
        <w:bidi w:val="0"/>
        <w:snapToGrid/>
        <w:spacing w:line="240" w:lineRule="auto"/>
        <w:ind w:firstLine="720" w:firstLineChars="300"/>
        <w:textAlignment w:val="auto"/>
        <w:outlineLvl w:val="9"/>
        <w:rPr>
          <w:rFonts w:hint="eastAsia" w:ascii="宋体" w:hAnsi="宋体" w:eastAsia="宋体" w:cs="宋体"/>
          <w:b/>
          <w:sz w:val="24"/>
          <w:szCs w:val="24"/>
          <w:lang w:eastAsia="zh-CN"/>
        </w:rPr>
      </w:pPr>
      <w:r>
        <w:rPr>
          <w:rFonts w:hint="eastAsia" w:ascii="宋体" w:hAnsi="宋体" w:eastAsia="宋体" w:cs="宋体"/>
          <w:b w:val="0"/>
          <w:bCs/>
          <w:sz w:val="24"/>
          <w:szCs w:val="24"/>
          <w:lang w:val="en-US" w:eastAsia="zh-CN"/>
        </w:rPr>
        <w:t>5、资金管理制度情况</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二、绩效评价工作情况</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（一）绩效评价的目的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（二）绩效评价原则、指标体系</w:t>
      </w:r>
      <w:r>
        <w:rPr>
          <w:rFonts w:hint="eastAsia" w:ascii="宋体" w:hAnsi="宋体" w:eastAsia="宋体" w:cs="宋体"/>
          <w:b w:val="0"/>
          <w:bCs/>
          <w:sz w:val="24"/>
          <w:szCs w:val="24"/>
          <w:lang w:eastAsia="zh-CN"/>
        </w:rPr>
        <w:t>及</w:t>
      </w:r>
      <w:r>
        <w:rPr>
          <w:rFonts w:hint="eastAsia" w:ascii="宋体" w:hAnsi="宋体" w:eastAsia="宋体" w:cs="宋体"/>
          <w:b w:val="0"/>
          <w:bCs/>
          <w:sz w:val="24"/>
          <w:szCs w:val="24"/>
        </w:rPr>
        <w:t>标准和评价方法</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cs="宋体"/>
          <w:b w:val="0"/>
          <w:bCs/>
          <w:sz w:val="24"/>
          <w:szCs w:val="24"/>
          <w:lang w:eastAsia="zh-CN"/>
        </w:rPr>
        <w:t>、</w:t>
      </w:r>
      <w:r>
        <w:rPr>
          <w:rFonts w:hint="eastAsia" w:ascii="宋体" w:hAnsi="宋体" w:eastAsia="宋体" w:cs="宋体"/>
          <w:b w:val="0"/>
          <w:bCs/>
          <w:sz w:val="24"/>
          <w:szCs w:val="24"/>
        </w:rPr>
        <w:t>绩效评价原则</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cs="宋体"/>
          <w:b w:val="0"/>
          <w:bCs/>
          <w:sz w:val="24"/>
          <w:szCs w:val="24"/>
          <w:lang w:eastAsia="zh-CN"/>
        </w:rPr>
        <w:t>、</w:t>
      </w:r>
      <w:r>
        <w:rPr>
          <w:rFonts w:hint="eastAsia" w:ascii="宋体" w:hAnsi="宋体" w:eastAsia="宋体" w:cs="宋体"/>
          <w:b w:val="0"/>
          <w:bCs/>
          <w:sz w:val="24"/>
          <w:szCs w:val="24"/>
        </w:rPr>
        <w:t>绩效指标体系及标准</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cs="宋体"/>
          <w:b w:val="0"/>
          <w:bCs/>
          <w:sz w:val="24"/>
          <w:szCs w:val="24"/>
          <w:lang w:val="en-US" w:eastAsia="zh-CN"/>
        </w:rPr>
        <w:t>、</w:t>
      </w:r>
      <w:r>
        <w:rPr>
          <w:rFonts w:hint="eastAsia" w:ascii="宋体" w:hAnsi="宋体" w:eastAsia="宋体" w:cs="宋体"/>
          <w:b w:val="0"/>
          <w:bCs/>
          <w:sz w:val="24"/>
          <w:szCs w:val="24"/>
        </w:rPr>
        <w:t>绩效评价方法和内容</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（三）绩效评价工作实施过程</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cs="宋体"/>
          <w:b w:val="0"/>
          <w:bCs/>
          <w:sz w:val="24"/>
          <w:szCs w:val="24"/>
          <w:lang w:eastAsia="zh-CN"/>
        </w:rPr>
        <w:t>、</w:t>
      </w:r>
      <w:r>
        <w:rPr>
          <w:rFonts w:hint="eastAsia" w:ascii="宋体" w:hAnsi="宋体" w:eastAsia="宋体" w:cs="宋体"/>
          <w:b w:val="0"/>
          <w:bCs/>
          <w:sz w:val="24"/>
          <w:szCs w:val="24"/>
        </w:rPr>
        <w:t>前期准备</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cs="宋体"/>
          <w:b w:val="0"/>
          <w:bCs/>
          <w:sz w:val="24"/>
          <w:szCs w:val="24"/>
          <w:lang w:eastAsia="zh-CN"/>
        </w:rPr>
        <w:t>、</w:t>
      </w:r>
      <w:r>
        <w:rPr>
          <w:rFonts w:hint="eastAsia" w:ascii="宋体" w:hAnsi="宋体" w:eastAsia="宋体" w:cs="宋体"/>
          <w:b w:val="0"/>
          <w:bCs/>
          <w:sz w:val="24"/>
          <w:szCs w:val="24"/>
        </w:rPr>
        <w:t>组织实施过程</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3</w:t>
      </w:r>
      <w:r>
        <w:rPr>
          <w:rFonts w:hint="eastAsia" w:ascii="宋体" w:hAnsi="宋体" w:cs="宋体"/>
          <w:b w:val="0"/>
          <w:bCs/>
          <w:sz w:val="24"/>
          <w:szCs w:val="24"/>
          <w:lang w:eastAsia="zh-CN"/>
        </w:rPr>
        <w:t>、</w:t>
      </w:r>
      <w:r>
        <w:rPr>
          <w:rFonts w:hint="eastAsia" w:ascii="宋体" w:hAnsi="宋体" w:eastAsia="宋体" w:cs="宋体"/>
          <w:b w:val="0"/>
          <w:bCs/>
          <w:sz w:val="24"/>
          <w:szCs w:val="24"/>
        </w:rPr>
        <w:t>分析评价</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（四）绩效目标的实现程度</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项目产出完成情况及分析</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产出质量情况分析</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3、产出时效</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4、成本控制</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项目公开、公正</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项目完成后效果</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（五）</w:t>
      </w:r>
      <w:r>
        <w:rPr>
          <w:rFonts w:hint="eastAsia" w:ascii="宋体" w:hAnsi="宋体" w:eastAsia="宋体" w:cs="宋体"/>
          <w:b w:val="0"/>
          <w:bCs/>
          <w:sz w:val="24"/>
          <w:szCs w:val="24"/>
        </w:rPr>
        <w:t>项目绩效评价结论</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lang w:eastAsia="zh-CN"/>
        </w:rPr>
        <w:t>三、</w:t>
      </w:r>
      <w:r>
        <w:rPr>
          <w:rFonts w:hint="eastAsia" w:ascii="宋体" w:hAnsi="宋体" w:eastAsia="宋体" w:cs="宋体"/>
          <w:b/>
          <w:sz w:val="24"/>
          <w:szCs w:val="24"/>
        </w:rPr>
        <w:t>存在问题及原因分析</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（一）项目目标方面</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（二）项目支出与财务管理方面</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outlineLvl w:val="9"/>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四、有关建议</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五、其他需要说明的问题</w:t>
      </w:r>
    </w:p>
    <w:p>
      <w:pPr>
        <w:tabs>
          <w:tab w:val="left" w:pos="2835"/>
          <w:tab w:val="left" w:pos="4725"/>
        </w:tabs>
        <w:spacing w:line="940" w:lineRule="exact"/>
        <w:jc w:val="both"/>
        <w:outlineLvl w:val="1"/>
        <w:rPr>
          <w:rFonts w:hint="eastAsia" w:ascii="黑体" w:hAnsi="宋体" w:eastAsia="黑体"/>
          <w:spacing w:val="-16"/>
          <w:w w:val="66"/>
          <w:sz w:val="96"/>
          <w:szCs w:val="96"/>
          <w:lang w:eastAsia="zh-CN"/>
        </w:rPr>
      </w:pPr>
    </w:p>
    <w:p>
      <w:pPr>
        <w:tabs>
          <w:tab w:val="left" w:pos="2835"/>
          <w:tab w:val="left" w:pos="4725"/>
        </w:tabs>
        <w:spacing w:line="940" w:lineRule="exact"/>
        <w:jc w:val="center"/>
        <w:outlineLvl w:val="1"/>
        <w:rPr>
          <w:rFonts w:hint="eastAsia" w:ascii="黑体" w:hAnsi="宋体" w:eastAsia="黑体"/>
          <w:spacing w:val="-16"/>
          <w:w w:val="66"/>
          <w:sz w:val="96"/>
          <w:szCs w:val="96"/>
          <w:lang w:eastAsia="zh-CN"/>
        </w:rPr>
      </w:pPr>
      <w:r>
        <w:rPr>
          <w:rFonts w:hint="eastAsia" w:ascii="黑体" w:hAnsi="宋体" w:eastAsia="黑体"/>
          <w:spacing w:val="-16"/>
          <w:w w:val="66"/>
          <w:sz w:val="96"/>
          <w:szCs w:val="96"/>
          <w:lang w:eastAsia="zh-CN"/>
        </w:rPr>
        <w:t>湖南公众会计师事务所有限公司</w:t>
      </w:r>
    </w:p>
    <w:p>
      <w:pPr>
        <w:keepNext/>
        <w:snapToGrid w:val="0"/>
        <w:spacing w:line="240" w:lineRule="atLeast"/>
        <w:jc w:val="center"/>
        <w:outlineLvl w:val="0"/>
        <w:rPr>
          <w:rFonts w:ascii="黑体" w:hAnsi="Times New Roman"/>
          <w:b/>
          <w:bCs/>
          <w:w w:val="80"/>
          <w:sz w:val="28"/>
        </w:rPr>
      </w:pPr>
      <w:r>
        <w:rPr>
          <w:rFonts w:hint="eastAsia" w:ascii="宋体" w:hAnsi="宋体"/>
          <w:b/>
          <w:bCs/>
          <w:sz w:val="26"/>
        </w:rPr>
        <w:t>HUNAN GONGZHONG CERTIFIED PUBLIC ACCOUNTANTS CO.LTD</w:t>
      </w:r>
    </w:p>
    <w:p>
      <w:pPr>
        <w:adjustRightInd w:val="0"/>
        <w:snapToGrid w:val="0"/>
        <w:spacing w:line="760" w:lineRule="exact"/>
        <w:jc w:val="center"/>
        <w:outlineLvl w:val="0"/>
        <w:rPr>
          <w:rFonts w:hint="eastAsia" w:ascii="楷体_GB2312" w:hAnsi="宋体" w:eastAsia="楷体_GB2312"/>
          <w:b/>
          <w:spacing w:val="20"/>
          <w:sz w:val="36"/>
          <w:szCs w:val="36"/>
          <w:highlight w:val="none"/>
          <w:lang w:eastAsia="zh-CN"/>
        </w:rPr>
      </w:pPr>
      <w:r>
        <w:rPr>
          <w:rFonts w:hint="eastAsia" w:ascii="楷体_GB2312" w:hAnsi="宋体" w:eastAsia="楷体_GB2312"/>
          <w:b/>
          <w:spacing w:val="20"/>
          <w:sz w:val="36"/>
          <w:szCs w:val="36"/>
          <w:lang w:eastAsia="zh-CN"/>
        </w:rPr>
        <w:t>湘公会</w:t>
      </w:r>
      <w:r>
        <w:rPr>
          <w:rFonts w:hint="eastAsia" w:ascii="楷体_GB2312" w:hAnsi="宋体" w:eastAsia="楷体_GB2312"/>
          <w:b/>
          <w:spacing w:val="20"/>
          <w:sz w:val="36"/>
          <w:szCs w:val="36"/>
          <w:highlight w:val="none"/>
          <w:lang w:eastAsia="zh-CN"/>
        </w:rPr>
        <w:t>司（</w:t>
      </w:r>
      <w:r>
        <w:rPr>
          <w:rFonts w:hint="eastAsia" w:ascii="楷体_GB2312" w:hAnsi="宋体" w:eastAsia="楷体_GB2312"/>
          <w:b/>
          <w:spacing w:val="20"/>
          <w:sz w:val="36"/>
          <w:szCs w:val="36"/>
          <w:highlight w:val="none"/>
          <w:lang w:val="en-US" w:eastAsia="zh-CN"/>
        </w:rPr>
        <w:t>绩）</w:t>
      </w:r>
      <w:r>
        <w:rPr>
          <w:rFonts w:hint="eastAsia" w:ascii="楷体_GB2312" w:hAnsi="宋体" w:eastAsia="楷体_GB2312"/>
          <w:b/>
          <w:spacing w:val="20"/>
          <w:sz w:val="36"/>
          <w:szCs w:val="36"/>
          <w:highlight w:val="none"/>
          <w:lang w:eastAsia="zh-CN"/>
        </w:rPr>
        <w:t>字[2023]第 号</w:t>
      </w:r>
    </w:p>
    <w:p>
      <w:pPr>
        <w:adjustRightInd w:val="0"/>
        <w:snapToGrid w:val="0"/>
        <w:spacing w:line="760" w:lineRule="exact"/>
        <w:jc w:val="center"/>
        <w:outlineLvl w:val="0"/>
        <w:rPr>
          <w:rFonts w:hint="default"/>
          <w:lang w:val="en-US" w:eastAsia="zh-CN"/>
        </w:rPr>
      </w:pPr>
      <w:r>
        <w:rPr>
          <w:rFonts w:hint="eastAsia" w:ascii="宋体" w:hAnsi="宋体" w:cs="宋体"/>
          <w:b/>
          <w:bCs w:val="0"/>
          <w:sz w:val="32"/>
          <w:szCs w:val="32"/>
          <w:lang w:val="en-US" w:eastAsia="zh-CN"/>
        </w:rPr>
        <w:t xml:space="preserve">  云溪区2022年度两厂片区环卫绿化外包及管理费</w:t>
      </w:r>
    </w:p>
    <w:p>
      <w:pPr>
        <w:spacing w:line="760" w:lineRule="exact"/>
        <w:jc w:val="center"/>
        <w:outlineLvl w:val="0"/>
        <w:rPr>
          <w:rFonts w:hint="eastAsia" w:ascii="黑体" w:hAnsi="宋体" w:eastAsia="黑体"/>
          <w:b/>
          <w:sz w:val="44"/>
        </w:rPr>
      </w:pPr>
      <w:r>
        <w:rPr>
          <w:rFonts w:hint="eastAsia" w:ascii="黑体" w:hAnsi="宋体" w:eastAsia="黑体"/>
          <w:b/>
          <w:sz w:val="44"/>
          <w:lang w:eastAsia="zh-CN"/>
        </w:rPr>
        <w:t>重点</w:t>
      </w:r>
      <w:r>
        <w:rPr>
          <w:rFonts w:hint="eastAsia" w:ascii="黑体" w:hAnsi="宋体" w:eastAsia="黑体"/>
          <w:b/>
          <w:sz w:val="44"/>
        </w:rPr>
        <w:t>绩效评价报告</w:t>
      </w:r>
    </w:p>
    <w:p>
      <w:pPr>
        <w:numPr>
          <w:ilvl w:val="0"/>
          <w:numId w:val="0"/>
        </w:numPr>
        <w:autoSpaceDE w:val="0"/>
        <w:autoSpaceDN w:val="0"/>
        <w:adjustRightInd w:val="0"/>
        <w:ind w:firstLine="640" w:firstLineChars="200"/>
        <w:rPr>
          <w:rFonts w:hint="eastAsia" w:ascii="仿宋_GB2312" w:hAnsi="仿宋_GB2312" w:eastAsia="仿宋_GB2312" w:cs="仿宋_GB2312"/>
          <w:kern w:val="0"/>
          <w:sz w:val="32"/>
          <w:szCs w:val="32"/>
          <w:lang w:val="en-US" w:eastAsia="zh-CN" w:bidi="ar-SA"/>
        </w:rPr>
      </w:pPr>
    </w:p>
    <w:p>
      <w:pPr>
        <w:keepNext w:val="0"/>
        <w:keepLines w:val="0"/>
        <w:pageBreakBefore w:val="0"/>
        <w:numPr>
          <w:ilvl w:val="0"/>
          <w:numId w:val="0"/>
        </w:numPr>
        <w:kinsoku/>
        <w:wordWrap/>
        <w:overflowPunct/>
        <w:topLinePunct w:val="0"/>
        <w:autoSpaceDE w:val="0"/>
        <w:autoSpaceDN w:val="0"/>
        <w:bidi w:val="0"/>
        <w:adjustRightInd w:val="0"/>
        <w:snapToGrid/>
        <w:spacing w:line="15" w:lineRule="auto"/>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云溪区财政局：</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0" w:firstLineChars="200"/>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我们接受委托，对岳阳市云溪区环卫绿化服务所（以下简称：“环卫所”）组织实施的“2022年度两厂片区环卫绿化外包及管理费”（以下称“项目”）的项目支出实施绩效评价。</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0" w:firstLineChars="200"/>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 xml:space="preserve">环卫所应当对其所提供的项目绩效评价资料的真实性、合法性和完整性负责。我们的责任是对这些资料发表绩效评价意见。我们的绩效评价意见是根据财政部《财政支出绩效评价管理暂行办法》、中国注册会计师协会《会计师事务所财政支出绩效评价业务指引》等有关文件要求进行的。在绩效评价过程中，我们结合绩效评价项目具体情况及委托要求，对项目资金支出实施绩效评价，现将有关情况报告如下： </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2" w:firstLineChars="200"/>
        <w:textAlignment w:val="auto"/>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一、项目概况</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2" w:firstLineChars="200"/>
        <w:textAlignment w:val="auto"/>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（一）项目评价依据</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0" w:firstLineChars="200"/>
        <w:textAlignment w:val="auto"/>
        <w:rPr>
          <w:rFonts w:hint="default"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1、《岳阳市云溪区财政局关于全面开展2023年财政资金绩效评价工作的通知》文件（以下简称《通知》）。</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0" w:firstLineChars="200"/>
        <w:textAlignment w:val="auto"/>
        <w:rPr>
          <w:rFonts w:hint="eastAsia"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2、《岳阳市预算绩效管理实施办法》（岳办发〔2020〕4号）</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0" w:firstLineChars="200"/>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3、《行政事业单位财务管理制度》等相</w:t>
      </w:r>
      <w:r>
        <w:rPr>
          <w:rFonts w:hint="eastAsia" w:asciiTheme="minorEastAsia" w:hAnsiTheme="minorEastAsia" w:eastAsiaTheme="minorEastAsia" w:cstheme="minorEastAsia"/>
          <w:kern w:val="0"/>
          <w:sz w:val="28"/>
          <w:szCs w:val="28"/>
          <w:lang w:val="en-US" w:eastAsia="zh-CN" w:bidi="ar-SA"/>
        </w:rPr>
        <w:t>关规定。</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0" w:firstLineChars="200"/>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4、项目单位绩效自评资料、年度工作总结、财务资料等其他相关资料。</w:t>
      </w:r>
    </w:p>
    <w:p>
      <w:pPr>
        <w:pStyle w:val="24"/>
        <w:rPr>
          <w:rFonts w:hint="default"/>
          <w:lang w:val="en-US" w:eastAsia="zh-CN"/>
        </w:rPr>
      </w:pP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2" w:firstLineChars="200"/>
        <w:textAlignment w:val="auto"/>
        <w:rPr>
          <w:rFonts w:hint="eastAsia" w:asciiTheme="minorEastAsia" w:hAnsiTheme="minorEastAsia" w:eastAsiaTheme="minorEastAsia" w:cstheme="minorEastAsia"/>
          <w:b/>
          <w:bCs/>
          <w:kern w:val="0"/>
          <w:sz w:val="28"/>
          <w:szCs w:val="28"/>
          <w:lang w:val="zh-CN" w:eastAsia="zh-CN" w:bidi="ar-SA"/>
        </w:rPr>
      </w:pPr>
      <w:r>
        <w:rPr>
          <w:rFonts w:hint="eastAsia" w:asciiTheme="minorEastAsia" w:hAnsiTheme="minorEastAsia" w:eastAsiaTheme="minorEastAsia" w:cstheme="minorEastAsia"/>
          <w:b/>
          <w:bCs/>
          <w:kern w:val="0"/>
          <w:sz w:val="28"/>
          <w:szCs w:val="28"/>
          <w:lang w:val="zh-CN" w:eastAsia="zh-CN" w:bidi="ar-SA"/>
        </w:rPr>
        <w:t>（二）项目单位基本情况</w:t>
      </w:r>
    </w:p>
    <w:p>
      <w:pPr>
        <w:pStyle w:val="35"/>
        <w:ind w:left="0" w:leftChars="0" w:firstLine="560" w:firstLineChars="200"/>
        <w:rPr>
          <w:rFonts w:hint="eastAsia"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1、职能职责</w:t>
      </w:r>
    </w:p>
    <w:p>
      <w:pPr>
        <w:pStyle w:val="35"/>
        <w:ind w:left="0" w:leftChars="0" w:firstLine="560" w:firstLineChars="200"/>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云溪区环卫绿化服务所是全额拨款事业单位，主要职责是负责城区市容环境卫生管理工作；监督检查指导城区街道清扫保洁、铲除冰雪等工作；负责城区餐厨垃圾收运和处理；负责城区环卫基础设施的设置管理和维护；负责公厕管理、垃圾、渣土及固体废弃物的收运、处理、利用等工作；负责乡镇垃圾处理中心的申报、建设、管理、运营等工作；负责城市生活垃圾处置费征收；负责城区内公共绿地、生产绿地、主题公园建设的批后管理和监督检查工作；负责对城区园林绿化、公园广场绿化的规划、建设、养护和监督管理；负责对临时占用城市绿地、广场及城市树木的砍伐或迁移的批后监管和监督检查工作。</w:t>
      </w:r>
    </w:p>
    <w:p>
      <w:pPr>
        <w:pStyle w:val="35"/>
        <w:ind w:left="0" w:leftChars="0" w:firstLine="560" w:firstLineChars="200"/>
        <w:rPr>
          <w:rFonts w:hint="eastAsia"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2、机构设置</w:t>
      </w:r>
    </w:p>
    <w:p>
      <w:pPr>
        <w:pStyle w:val="35"/>
        <w:ind w:left="0" w:leftChars="0" w:firstLine="560" w:firstLineChars="200"/>
        <w:rPr>
          <w:rFonts w:hint="eastAsia"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根据编办核定，云溪区环卫绿化服务所设综合室、城区环卫绿化中心、长岭环卫绿化中心、岳化环卫绿化中心、收费征稽中心、垃圾处置中心6个内设机构。核定全额拨款事业编制7名，设所长1名，副所长4名，内设机构负责人（副股级）6名。</w:t>
      </w:r>
    </w:p>
    <w:p>
      <w:pPr>
        <w:pStyle w:val="35"/>
        <w:ind w:left="0" w:leftChars="0" w:firstLine="560" w:firstLineChars="200"/>
        <w:rPr>
          <w:rFonts w:hint="eastAsia"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3、人员情况</w:t>
      </w:r>
    </w:p>
    <w:p>
      <w:pPr>
        <w:pStyle w:val="35"/>
        <w:ind w:firstLine="560" w:firstLineChars="200"/>
        <w:rPr>
          <w:rFonts w:hint="default"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云溪区环卫绿化服务所共有124人，其中实名制人员25人，其他及临聘人员91人（未含其他外包及两厂临聘人员）。</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2" w:firstLineChars="200"/>
        <w:textAlignment w:val="auto"/>
        <w:rPr>
          <w:rFonts w:hint="eastAsia" w:asciiTheme="minorEastAsia" w:hAnsiTheme="minorEastAsia" w:eastAsiaTheme="minorEastAsia" w:cstheme="minorEastAsia"/>
          <w:b/>
          <w:bCs/>
          <w:kern w:val="0"/>
          <w:sz w:val="28"/>
          <w:szCs w:val="28"/>
          <w:lang w:val="zh-CN" w:eastAsia="zh-CN" w:bidi="ar-SA"/>
        </w:rPr>
      </w:pPr>
      <w:r>
        <w:rPr>
          <w:rFonts w:hint="eastAsia" w:asciiTheme="minorEastAsia" w:hAnsiTheme="minorEastAsia" w:eastAsiaTheme="minorEastAsia" w:cstheme="minorEastAsia"/>
          <w:b/>
          <w:bCs/>
          <w:kern w:val="0"/>
          <w:sz w:val="28"/>
          <w:szCs w:val="28"/>
          <w:lang w:val="zh-CN" w:eastAsia="zh-CN" w:bidi="ar-SA"/>
        </w:rPr>
        <w:t>（三）项目基本情况</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0" w:firstLineChars="200"/>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1、根据</w:t>
      </w:r>
      <w:r>
        <w:rPr>
          <w:rFonts w:hint="eastAsia" w:asciiTheme="minorEastAsia" w:hAnsiTheme="minorEastAsia" w:eastAsiaTheme="minorEastAsia" w:cstheme="minorEastAsia"/>
          <w:kern w:val="0"/>
          <w:sz w:val="28"/>
          <w:szCs w:val="28"/>
          <w:highlight w:val="none"/>
          <w:lang w:val="en-US" w:eastAsia="zh-CN" w:bidi="ar-SA"/>
        </w:rPr>
        <w:t>云溪区财政局下发的《岳阳市云溪区财政局关于全面开展2023年财政资金绩效评价工作的通知》文件，本项</w:t>
      </w:r>
      <w:r>
        <w:rPr>
          <w:rFonts w:hint="eastAsia" w:asciiTheme="minorEastAsia" w:hAnsiTheme="minorEastAsia" w:eastAsiaTheme="minorEastAsia" w:cstheme="minorEastAsia"/>
          <w:kern w:val="0"/>
          <w:sz w:val="28"/>
          <w:szCs w:val="28"/>
          <w:lang w:val="en-US" w:eastAsia="zh-CN" w:bidi="ar-SA"/>
        </w:rPr>
        <w:t>目绩效评价范围为：2022年度两厂片区环卫绿化外包及管理费。</w:t>
      </w:r>
    </w:p>
    <w:p>
      <w:pPr>
        <w:ind w:firstLine="548" w:firstLineChars="196"/>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2、2022年度两厂片区环卫绿化外包及管理费主要用于</w:t>
      </w:r>
      <w:r>
        <w:rPr>
          <w:rFonts w:hint="eastAsia" w:asciiTheme="minorEastAsia" w:hAnsiTheme="minorEastAsia" w:eastAsiaTheme="minorEastAsia" w:cstheme="minorEastAsia"/>
          <w:kern w:val="0"/>
          <w:sz w:val="28"/>
          <w:szCs w:val="28"/>
          <w:highlight w:val="none"/>
          <w:lang w:val="en-US" w:eastAsia="zh-CN" w:bidi="ar-SA"/>
        </w:rPr>
        <w:t>两厂环卫绿化劳务外包、两厂垃圾中转站运营及两厂管理。</w:t>
      </w:r>
    </w:p>
    <w:p>
      <w:pPr>
        <w:keepNext w:val="0"/>
        <w:keepLines w:val="0"/>
        <w:pageBreakBefore w:val="0"/>
        <w:kinsoku/>
        <w:wordWrap/>
        <w:overflowPunct/>
        <w:topLinePunct w:val="0"/>
        <w:bidi w:val="0"/>
        <w:snapToGrid/>
        <w:spacing w:line="15" w:lineRule="auto"/>
        <w:ind w:firstLine="562" w:firstLineChars="200"/>
        <w:textAlignment w:val="auto"/>
        <w:rPr>
          <w:rFonts w:hint="eastAsia" w:asciiTheme="minorEastAsia" w:hAnsiTheme="minorEastAsia" w:eastAsiaTheme="minorEastAsia" w:cstheme="minorEastAsia"/>
          <w:b/>
          <w:sz w:val="28"/>
          <w:szCs w:val="28"/>
          <w:lang w:val="zh-CN"/>
        </w:rPr>
      </w:pPr>
      <w:r>
        <w:rPr>
          <w:rFonts w:hint="eastAsia" w:asciiTheme="minorEastAsia" w:hAnsiTheme="minorEastAsia" w:eastAsiaTheme="minorEastAsia" w:cstheme="minorEastAsia"/>
          <w:b/>
          <w:sz w:val="28"/>
          <w:szCs w:val="28"/>
          <w:lang w:val="zh-CN"/>
        </w:rPr>
        <w:t>（四）项目绩效目标及项目的主要内容</w:t>
      </w:r>
    </w:p>
    <w:p>
      <w:pPr>
        <w:pStyle w:val="22"/>
        <w:keepNext w:val="0"/>
        <w:keepLines w:val="0"/>
        <w:pageBreakBefore w:val="0"/>
        <w:widowControl/>
        <w:suppressLineNumbers w:val="0"/>
        <w:kinsoku/>
        <w:wordWrap/>
        <w:overflowPunct/>
        <w:topLinePunct w:val="0"/>
        <w:bidi w:val="0"/>
        <w:snapToGrid/>
        <w:spacing w:before="0" w:beforeAutospacing="0" w:after="0" w:afterAutospacing="0" w:line="15" w:lineRule="auto"/>
        <w:ind w:right="0" w:firstLine="562" w:firstLineChars="200"/>
        <w:jc w:val="both"/>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lang w:val="en-US" w:eastAsia="zh-CN"/>
        </w:rPr>
        <w:t>1、项目总体目标</w:t>
      </w:r>
      <w:r>
        <w:rPr>
          <w:rFonts w:hint="eastAsia" w:asciiTheme="minorEastAsia" w:hAnsiTheme="minorEastAsia" w:eastAsiaTheme="minorEastAsia" w:cstheme="minorEastAsia"/>
          <w:b/>
          <w:bCs/>
          <w:sz w:val="28"/>
          <w:szCs w:val="28"/>
          <w:highlight w:val="none"/>
          <w:lang w:val="en-US" w:eastAsia="zh-CN"/>
        </w:rPr>
        <w:t>：</w:t>
      </w:r>
    </w:p>
    <w:p>
      <w:pPr>
        <w:pStyle w:val="22"/>
        <w:keepNext w:val="0"/>
        <w:keepLines w:val="0"/>
        <w:pageBreakBefore w:val="0"/>
        <w:widowControl/>
        <w:suppressLineNumbers w:val="0"/>
        <w:kinsoku/>
        <w:wordWrap/>
        <w:overflowPunct/>
        <w:topLinePunct w:val="0"/>
        <w:bidi w:val="0"/>
        <w:snapToGrid/>
        <w:spacing w:before="0" w:beforeAutospacing="0" w:after="0" w:afterAutospacing="0" w:line="15" w:lineRule="auto"/>
        <w:ind w:right="0" w:firstLine="560" w:firstLineChars="200"/>
        <w:jc w:val="both"/>
        <w:textAlignment w:val="auto"/>
        <w:rPr>
          <w:rFonts w:hint="eastAsia" w:asciiTheme="minorEastAsia" w:hAnsiTheme="minorEastAsia" w:eastAsiaTheme="minorEastAsia" w:cstheme="minorEastAsia"/>
          <w:bCs/>
          <w:kern w:val="2"/>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保障长炼、岳化两厂环境卫生整洁优美，给居民提供舒适宜居环境。　　</w:t>
      </w:r>
    </w:p>
    <w:p>
      <w:pPr>
        <w:keepNext w:val="0"/>
        <w:keepLines w:val="0"/>
        <w:pageBreakBefore w:val="0"/>
        <w:numPr>
          <w:ilvl w:val="0"/>
          <w:numId w:val="2"/>
        </w:numPr>
        <w:kinsoku/>
        <w:wordWrap/>
        <w:overflowPunct/>
        <w:topLinePunct w:val="0"/>
        <w:bidi w:val="0"/>
        <w:snapToGrid/>
        <w:spacing w:line="15" w:lineRule="auto"/>
        <w:ind w:firstLine="562"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eastAsia="zh-CN"/>
        </w:rPr>
        <w:t>具体目标</w:t>
      </w:r>
    </w:p>
    <w:p>
      <w:pPr>
        <w:pStyle w:val="34"/>
        <w:numPr>
          <w:ilvl w:val="0"/>
          <w:numId w:val="3"/>
        </w:numPr>
        <w:ind w:firstLine="560" w:firstLineChars="200"/>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将</w:t>
      </w:r>
      <w:r>
        <w:rPr>
          <w:rFonts w:hint="eastAsia" w:asciiTheme="minorEastAsia" w:hAnsiTheme="minorEastAsia" w:eastAsiaTheme="minorEastAsia" w:cstheme="minorEastAsia"/>
          <w:kern w:val="0"/>
          <w:sz w:val="28"/>
          <w:szCs w:val="28"/>
          <w:lang w:val="en-US" w:eastAsia="zh-CN" w:bidi="ar-SA"/>
        </w:rPr>
        <w:t>两厂片区</w:t>
      </w:r>
      <w:r>
        <w:rPr>
          <w:rFonts w:hint="eastAsia" w:asciiTheme="minorEastAsia" w:hAnsiTheme="minorEastAsia" w:eastAsiaTheme="minorEastAsia" w:cstheme="minorEastAsia"/>
          <w:kern w:val="2"/>
          <w:sz w:val="28"/>
          <w:szCs w:val="28"/>
          <w:highlight w:val="none"/>
          <w:lang w:val="en-US" w:eastAsia="zh-CN" w:bidi="ar-SA"/>
        </w:rPr>
        <w:t>移交范围内</w:t>
      </w:r>
      <w:r>
        <w:rPr>
          <w:rFonts w:hint="eastAsia" w:asciiTheme="minorEastAsia" w:hAnsiTheme="minorEastAsia" w:eastAsiaTheme="minorEastAsia" w:cstheme="minorEastAsia"/>
          <w:kern w:val="0"/>
          <w:sz w:val="28"/>
          <w:szCs w:val="28"/>
          <w:lang w:val="en-US" w:eastAsia="zh-CN" w:bidi="ar-SA"/>
        </w:rPr>
        <w:t>环卫绿化实行外包，并进行监督检查管理，</w:t>
      </w:r>
      <w:r>
        <w:rPr>
          <w:rFonts w:hint="eastAsia" w:asciiTheme="minorEastAsia" w:hAnsiTheme="minorEastAsia" w:eastAsiaTheme="minorEastAsia" w:cstheme="minorEastAsia"/>
          <w:kern w:val="2"/>
          <w:sz w:val="28"/>
          <w:szCs w:val="28"/>
          <w:highlight w:val="none"/>
          <w:lang w:val="en-US" w:eastAsia="zh-CN" w:bidi="ar-SA"/>
        </w:rPr>
        <w:t>两厂片区环卫绿化市场作业范围如下：</w:t>
      </w:r>
    </w:p>
    <w:p>
      <w:pPr>
        <w:pStyle w:val="34"/>
        <w:numPr>
          <w:ilvl w:val="0"/>
          <w:numId w:val="0"/>
        </w:numPr>
        <w:ind w:firstLine="560" w:firstLineChars="200"/>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①长岭片区。共有城区街道21条，清扫面积23.17万平方米，洒水7.12公里，道路清洗7.12公里，公厕2座，垃圾中转站1座。公共绿地5.969万平方米，其中主干道两边绿地15111.5平方米，新花园前绿地17075平方米，游泳池周边绿地1386平方米，得趣园26120.17平方米，各类树木2810棵。</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②岳化片区。共有城区街道19条，清扫面积23.366万平方米，洒水15.15公里，道路清洗15.15公里,绿化带共8109.22平方米，一工区绿化广场1500平方米，行道树3059棵。</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0"/>
          <w:sz w:val="28"/>
          <w:szCs w:val="28"/>
          <w:lang w:val="en-US" w:eastAsia="zh-CN" w:bidi="ar-SA"/>
        </w:rPr>
        <w:t>环卫所监督检查两厂环境卫生达到考评标准，顺利通过国家卫生城市和其他</w:t>
      </w:r>
      <w:r>
        <w:rPr>
          <w:rFonts w:hint="eastAsia" w:asciiTheme="minorEastAsia" w:hAnsiTheme="minorEastAsia" w:eastAsiaTheme="minorEastAsia" w:cstheme="minorEastAsia"/>
          <w:kern w:val="2"/>
          <w:sz w:val="28"/>
          <w:szCs w:val="28"/>
          <w:highlight w:val="none"/>
          <w:lang w:val="en-US" w:eastAsia="zh-CN" w:bidi="ar-SA"/>
        </w:rPr>
        <w:t>各项迎检工作。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（2）垃圾中转站、公厕日常管理。</w:t>
      </w:r>
    </w:p>
    <w:p>
      <w:pPr>
        <w:keepNext w:val="0"/>
        <w:keepLines w:val="0"/>
        <w:pageBreakBefore w:val="0"/>
        <w:kinsoku/>
        <w:wordWrap/>
        <w:overflowPunct/>
        <w:topLinePunct w:val="0"/>
        <w:bidi w:val="0"/>
        <w:snapToGrid/>
        <w:spacing w:line="15"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（五）</w:t>
      </w:r>
      <w:r>
        <w:rPr>
          <w:rFonts w:hint="eastAsia" w:asciiTheme="minorEastAsia" w:hAnsiTheme="minorEastAsia" w:eastAsiaTheme="minorEastAsia" w:cstheme="minorEastAsia"/>
          <w:b/>
          <w:sz w:val="28"/>
          <w:szCs w:val="28"/>
        </w:rPr>
        <w:t>项目资金情况</w:t>
      </w:r>
    </w:p>
    <w:p>
      <w:pPr>
        <w:keepNext w:val="0"/>
        <w:keepLines w:val="0"/>
        <w:pageBreakBefore w:val="0"/>
        <w:kinsoku/>
        <w:wordWrap/>
        <w:overflowPunct/>
        <w:topLinePunct w:val="0"/>
        <w:autoSpaceDE w:val="0"/>
        <w:autoSpaceDN w:val="0"/>
        <w:bidi w:val="0"/>
        <w:adjustRightInd w:val="0"/>
        <w:snapToGrid/>
        <w:spacing w:line="15" w:lineRule="auto"/>
        <w:ind w:firstLine="562"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b/>
          <w:sz w:val="28"/>
          <w:szCs w:val="28"/>
          <w:lang w:val="en-US" w:eastAsia="zh-CN"/>
        </w:rPr>
        <w:t>1、</w:t>
      </w:r>
      <w:r>
        <w:rPr>
          <w:rFonts w:hint="eastAsia" w:asciiTheme="minorEastAsia" w:hAnsiTheme="minorEastAsia" w:eastAsiaTheme="minorEastAsia" w:cstheme="minorEastAsia"/>
          <w:b/>
          <w:sz w:val="28"/>
          <w:szCs w:val="28"/>
        </w:rPr>
        <w:t>项目</w:t>
      </w:r>
      <w:r>
        <w:rPr>
          <w:rFonts w:hint="eastAsia" w:asciiTheme="minorEastAsia" w:hAnsiTheme="minorEastAsia" w:eastAsiaTheme="minorEastAsia" w:cstheme="minorEastAsia"/>
          <w:b/>
          <w:sz w:val="28"/>
          <w:szCs w:val="28"/>
          <w:lang w:eastAsia="zh-CN"/>
        </w:rPr>
        <w:t>预算</w:t>
      </w:r>
      <w:r>
        <w:rPr>
          <w:rFonts w:hint="eastAsia" w:asciiTheme="minorEastAsia" w:hAnsiTheme="minorEastAsia" w:eastAsiaTheme="minorEastAsia" w:cstheme="minorEastAsia"/>
          <w:b/>
          <w:sz w:val="28"/>
          <w:szCs w:val="28"/>
          <w:highlight w:val="none"/>
          <w:lang w:eastAsia="zh-CN"/>
        </w:rPr>
        <w:t>：</w:t>
      </w:r>
      <w:r>
        <w:rPr>
          <w:rFonts w:hint="eastAsia" w:asciiTheme="minorEastAsia" w:hAnsiTheme="minorEastAsia" w:eastAsiaTheme="minorEastAsia" w:cstheme="minorEastAsia"/>
          <w:b w:val="0"/>
          <w:bCs/>
          <w:sz w:val="28"/>
          <w:szCs w:val="28"/>
          <w:highlight w:val="none"/>
          <w:lang w:val="en-US" w:eastAsia="zh-CN"/>
        </w:rPr>
        <w:t>613</w:t>
      </w:r>
      <w:r>
        <w:rPr>
          <w:rFonts w:hint="eastAsia" w:asciiTheme="minorEastAsia" w:hAnsiTheme="minorEastAsia" w:eastAsiaTheme="minorEastAsia" w:cstheme="minorEastAsia"/>
          <w:sz w:val="28"/>
          <w:szCs w:val="28"/>
          <w:highlight w:val="none"/>
          <w:lang w:val="en-US" w:eastAsia="zh-CN"/>
        </w:rPr>
        <w:t>万</w:t>
      </w:r>
      <w:r>
        <w:rPr>
          <w:rFonts w:hint="eastAsia" w:asciiTheme="minorEastAsia" w:hAnsiTheme="minorEastAsia" w:eastAsiaTheme="minorEastAsia" w:cstheme="minorEastAsia"/>
          <w:sz w:val="28"/>
          <w:szCs w:val="28"/>
          <w:highlight w:val="none"/>
        </w:rPr>
        <w:t>元</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其中岳化外包费268.32万元、长炼外包费258.72万元、两厂管理费35.96万元、新增两厂垃圾中转站（含公厕）50万元。</w:t>
      </w:r>
    </w:p>
    <w:p>
      <w:pPr>
        <w:keepNext w:val="0"/>
        <w:keepLines w:val="0"/>
        <w:pageBreakBefore w:val="0"/>
        <w:kinsoku/>
        <w:wordWrap/>
        <w:overflowPunct/>
        <w:topLinePunct w:val="0"/>
        <w:autoSpaceDE w:val="0"/>
        <w:autoSpaceDN w:val="0"/>
        <w:bidi w:val="0"/>
        <w:adjustRightInd w:val="0"/>
        <w:snapToGrid/>
        <w:spacing w:line="15" w:lineRule="auto"/>
        <w:ind w:firstLine="562" w:firstLineChars="200"/>
        <w:textAlignment w:val="auto"/>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val="en-US" w:eastAsia="zh-CN"/>
        </w:rPr>
        <w:t>2、</w:t>
      </w:r>
      <w:r>
        <w:rPr>
          <w:rFonts w:hint="eastAsia" w:asciiTheme="minorEastAsia" w:hAnsiTheme="minorEastAsia" w:eastAsiaTheme="minorEastAsia" w:cstheme="minorEastAsia"/>
          <w:b/>
          <w:sz w:val="28"/>
          <w:szCs w:val="28"/>
        </w:rPr>
        <w:t>资金来源和到位情况</w:t>
      </w:r>
      <w:r>
        <w:rPr>
          <w:rFonts w:hint="eastAsia" w:asciiTheme="minorEastAsia" w:hAnsiTheme="minorEastAsia" w:eastAsiaTheme="minorEastAsia" w:cstheme="minorEastAsia"/>
          <w:b/>
          <w:sz w:val="28"/>
          <w:szCs w:val="28"/>
          <w:lang w:eastAsia="zh-CN"/>
        </w:rPr>
        <w:t>：</w:t>
      </w:r>
    </w:p>
    <w:p>
      <w:pPr>
        <w:keepNext w:val="0"/>
        <w:keepLines w:val="0"/>
        <w:pageBreakBefore w:val="0"/>
        <w:kinsoku/>
        <w:wordWrap/>
        <w:overflowPunct/>
        <w:topLinePunct w:val="0"/>
        <w:autoSpaceDE w:val="0"/>
        <w:autoSpaceDN w:val="0"/>
        <w:bidi w:val="0"/>
        <w:adjustRightInd w:val="0"/>
        <w:snapToGrid/>
        <w:spacing w:line="15" w:lineRule="auto"/>
        <w:ind w:firstLine="560" w:firstLineChars="200"/>
        <w:textAlignment w:val="auto"/>
        <w:rPr>
          <w:rFonts w:hint="default"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b w:val="0"/>
          <w:bCs/>
          <w:sz w:val="28"/>
          <w:szCs w:val="28"/>
          <w:lang w:val="en-US" w:eastAsia="zh-CN"/>
        </w:rPr>
        <w:t>1）</w:t>
      </w:r>
      <w:r>
        <w:rPr>
          <w:rFonts w:hint="eastAsia" w:asciiTheme="minorEastAsia" w:hAnsiTheme="minorEastAsia" w:eastAsiaTheme="minorEastAsia" w:cstheme="minorEastAsia"/>
          <w:bCs/>
          <w:kern w:val="0"/>
          <w:sz w:val="28"/>
          <w:szCs w:val="28"/>
        </w:rPr>
        <w:t>项目资金来源均为</w:t>
      </w:r>
      <w:r>
        <w:rPr>
          <w:rFonts w:hint="eastAsia" w:asciiTheme="minorEastAsia" w:hAnsiTheme="minorEastAsia" w:eastAsiaTheme="minorEastAsia" w:cstheme="minorEastAsia"/>
          <w:bCs/>
          <w:kern w:val="0"/>
          <w:sz w:val="28"/>
          <w:szCs w:val="28"/>
          <w:highlight w:val="none"/>
        </w:rPr>
        <w:t>财政拨款</w:t>
      </w:r>
      <w:r>
        <w:rPr>
          <w:rFonts w:hint="eastAsia" w:asciiTheme="minorEastAsia" w:hAnsiTheme="minorEastAsia" w:eastAsiaTheme="minorEastAsia" w:cstheme="minorEastAsia"/>
          <w:bCs/>
          <w:sz w:val="28"/>
          <w:szCs w:val="28"/>
        </w:rPr>
        <w:t>。</w:t>
      </w:r>
    </w:p>
    <w:p>
      <w:pPr>
        <w:spacing w:line="560" w:lineRule="exact"/>
        <w:ind w:firstLine="548" w:firstLineChars="196"/>
        <w:rPr>
          <w:rFonts w:hint="eastAsia"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bCs/>
          <w:sz w:val="28"/>
          <w:szCs w:val="28"/>
          <w:lang w:val="en-US" w:eastAsia="zh-CN"/>
        </w:rPr>
        <w:t>（2）资金到位及时效：2022</w:t>
      </w:r>
      <w:r>
        <w:rPr>
          <w:rFonts w:hint="eastAsia" w:asciiTheme="minorEastAsia" w:hAnsiTheme="minorEastAsia" w:eastAsiaTheme="minorEastAsia" w:cstheme="minorEastAsia"/>
          <w:kern w:val="0"/>
          <w:sz w:val="28"/>
          <w:szCs w:val="28"/>
          <w:lang w:val="en-US" w:eastAsia="zh-CN" w:bidi="ar-SA"/>
        </w:rPr>
        <w:t>年度共计收到资金633.77万元，其中：一般公共预算资金613万元，两厂专项经费上年结余资金20.77万元，已全部拨付到位，资金</w:t>
      </w:r>
      <w:r>
        <w:rPr>
          <w:rFonts w:hint="eastAsia" w:asciiTheme="minorEastAsia" w:hAnsiTheme="minorEastAsia" w:eastAsiaTheme="minorEastAsia" w:cstheme="minorEastAsia"/>
          <w:kern w:val="0"/>
          <w:sz w:val="28"/>
          <w:szCs w:val="28"/>
          <w:highlight w:val="none"/>
          <w:lang w:val="en-US" w:eastAsia="zh-CN" w:bidi="ar-SA"/>
        </w:rPr>
        <w:t>到位率为100%，明细如下：</w:t>
      </w:r>
    </w:p>
    <w:tbl>
      <w:tblPr>
        <w:tblStyle w:val="25"/>
        <w:tblW w:w="860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9"/>
        <w:gridCol w:w="3010"/>
        <w:gridCol w:w="2380"/>
        <w:gridCol w:w="1400"/>
        <w:gridCol w:w="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09"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日期</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项目内容</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市指标文号</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2022-06-14</w:t>
            </w:r>
          </w:p>
        </w:tc>
        <w:tc>
          <w:tcPr>
            <w:tcW w:w="3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两厂片区环卫绿化外包及管理费</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岳云财预指〔2022〕0618号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3,060,000.00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2022-04-11</w:t>
            </w:r>
          </w:p>
        </w:tc>
        <w:tc>
          <w:tcPr>
            <w:tcW w:w="3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两厂片区环卫绿化外包及管理费</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岳云财预指〔2022〕0389号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1,500,000.00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2022-10-27</w:t>
            </w:r>
          </w:p>
        </w:tc>
        <w:tc>
          <w:tcPr>
            <w:tcW w:w="3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“两厂”延长期外包经费及管理费</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岳云财预指〔2022〕1347号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1,570,000.00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2022-01-17</w:t>
            </w:r>
          </w:p>
        </w:tc>
        <w:tc>
          <w:tcPr>
            <w:tcW w:w="3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“两厂”延长期外包经费及管理费</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岳云财国指〔2021〕0073号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203,919.00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2022-01-17</w:t>
            </w:r>
          </w:p>
        </w:tc>
        <w:tc>
          <w:tcPr>
            <w:tcW w:w="3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两厂片区环卫绿化管理经费</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岳云财国指〔2021〕单NO:0055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3,810.79</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合计金额</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6,337,729.79 </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bl>
    <w:p>
      <w:pPr>
        <w:pStyle w:val="34"/>
        <w:rPr>
          <w:rFonts w:hint="default"/>
          <w:lang w:val="en-US" w:eastAsia="zh-CN"/>
        </w:rPr>
      </w:pPr>
    </w:p>
    <w:p>
      <w:pPr>
        <w:keepNext w:val="0"/>
        <w:keepLines w:val="0"/>
        <w:pageBreakBefore w:val="0"/>
        <w:kinsoku/>
        <w:wordWrap/>
        <w:overflowPunct/>
        <w:topLinePunct w:val="0"/>
        <w:autoSpaceDE w:val="0"/>
        <w:autoSpaceDN w:val="0"/>
        <w:bidi w:val="0"/>
        <w:adjustRightInd w:val="0"/>
        <w:snapToGrid/>
        <w:spacing w:line="15" w:lineRule="auto"/>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lang w:val="en-US" w:eastAsia="zh-CN"/>
        </w:rPr>
        <w:t>3、</w:t>
      </w:r>
      <w:r>
        <w:rPr>
          <w:rFonts w:hint="eastAsia" w:asciiTheme="minorEastAsia" w:hAnsiTheme="minorEastAsia" w:eastAsiaTheme="minorEastAsia" w:cstheme="minorEastAsia"/>
          <w:b/>
          <w:sz w:val="28"/>
          <w:szCs w:val="28"/>
        </w:rPr>
        <w:t>实际使用资金情况</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80" w:lineRule="atLeast"/>
        <w:ind w:firstLine="560"/>
        <w:textAlignment w:val="auto"/>
        <w:rPr>
          <w:rFonts w:hint="default" w:asciiTheme="minorEastAsia" w:hAnsiTheme="minorEastAsia" w:eastAsiaTheme="minorEastAsia" w:cstheme="minorEastAsia"/>
          <w:bCs/>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t>云溪区两厂片区环卫绿化外包及管理费项目资金，2022年共计支出722.16万元，其中：两厂外包服务526.47万元、长炼环卫楼棚区改造33.73万元、行道树修剪及补植等66.74万元、两厂中转站维修及改造22.19万元、门卫公园小游园工资7.2万元、水上公园开支3.84万元、垃圾清理劳务费8.16万元、水电费3.36万元、办公费0.44万元、垃圾中转站运营费24.16万元、聘用市政管理工作人员补助及补偿费用25.87万元，明细如下：</w:t>
      </w:r>
    </w:p>
    <w:tbl>
      <w:tblPr>
        <w:tblStyle w:val="25"/>
        <w:tblW w:w="89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0"/>
        <w:gridCol w:w="1690"/>
        <w:gridCol w:w="2979"/>
        <w:gridCol w:w="2460"/>
        <w:gridCol w:w="1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3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2022年度两厂环卫绿化保洁及管理支出明细表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序列</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项目类别</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项目内容</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承包公司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实际金额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两厂外包服务</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岳化片区环卫绿化保洁外包费</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岳阳市志利保洁有限公司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2,684,700.00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长炼片区环卫绿化保洁外包费</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岳阳市山水物业有限公司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2,580,000.00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长炼环卫楼棚区改造</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长炼环卫楼棚区改造工程款</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岳阳市景森市政建设工程有限公司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337,337.66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行道树修剪及补植</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长炼片区行道树修剪</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岳阳绿普园林有限公司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214,276.50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岳化片区行道树修剪</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岳阳绿普园林有限公司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192,078.75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长炼岳化两厂补植</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岳阳超强劳务服务有限</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184,213.62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长炼片区雪后清理树枝路障劳务费</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岳阳市山水物业有限公司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岳化片区雪后清理树枝路障劳务费</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岳阳市志利保洁有限公司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行道树补植</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岳阳绿普园林有限公司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两厂行道树保险费</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中国人民财产保险股份有限公司岳阳市分公司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两厂中转站维修及改造</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岳化金盆中转站围墙改造</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岳阳市景森市政建设工程有限公司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一工区水管安装</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李鹏飞</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长炼机械转运等</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云溪区荣远维修服务队</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10,775.00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岳化片区垃圾中转站线路改造</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岳阳市景森市政建设工程有限公司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垃圾中转站室内改造工程款</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岳阳市景森市政建设工程有限公司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123,674.50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岳化医院洞口及胜利沟中转站坡道及下水道等改造</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岳阳市景森市政建设工程有限公司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44,716.00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门卫公园小游园工资</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岳化一工区小游园安全员工资</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岳阳市志利保洁有限公司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岳化门卫工资</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刘爱云</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长炼水上公园安全员工资</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岳阳市山水物业有限公司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水上公园开支</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公园喷泉安装及购置费</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岳阳广庆劳务服务有限公司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水上公园水管填埋</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岳阳佳月建筑工程机械租赁有限公司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灭火器、救生圈</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岳阳经济技术开发区矮哥劳保批发部</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水上公园办公楼维修</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岳阳广庆劳务服务有限公司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4,834.00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运动器材</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岳阳市永逸商贸有限公司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水上公园设施安装费</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岳阳广庆劳务服务有限公司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健身器材维修费</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岳阳市永逸商贸有限公司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垃圾清理劳务费</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死角垃圾清理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岳阳市志利保洁有限公司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长炼液化所站及老火车站清理及劳务费</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岳阳市山水物业有限公司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处理死危树劳务费</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岳阳市山水物业有限公司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迎省运会长岭周边卫生维修劳务费</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岳阳市山水物业有限公司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清理危树吊车及劳务费</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岳阳市山水物业有限公司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大汉片区垃圾清理租车及劳务费</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岳阳市志利保洁有限公司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水电费</w:t>
            </w:r>
          </w:p>
        </w:tc>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水费</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水上公园</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金桥公厕</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五星垃圾中转站</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2,147.60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电费</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两厂垃圾中转站</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长炼环卫楼、垃圾中转站</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11,893.08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水上公园</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水上公园公厕</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办公费</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长炼环卫楼电信服务费</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云溪区邱杰手机专营店</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2,388.00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长炼环卫楼燃气费</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岳阳华润燃气有限公司云溪分公司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垃圾中转站运营费</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五星垃圾中转站运营费（4-12月）</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岳阳市志利保洁有限公司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岳化八号沟垃圾中转站运营费（4-12月）</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岳阳市志利保洁有限公司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金盆垃圾中转站运营费（4-5月）</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岳阳市志利保洁有限公司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长炼环卫楼垃圾中转站运营费（4-12月）</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岳阳市山水物业有限公司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聘用市政管理工作人员补助及补偿费用</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聘用市政管理工作人员补助及补偿费用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中石化巴陵石油化工有限公司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聘用市政管理工作人员补助及补偿费用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岳阳市志利保洁有限公司</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58,720.00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合计金额</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7,221,648.71 </w:t>
            </w:r>
          </w:p>
        </w:tc>
      </w:tr>
    </w:tbl>
    <w:p>
      <w:pPr>
        <w:spacing w:line="600" w:lineRule="exact"/>
        <w:ind w:firstLine="562" w:firstLineChars="200"/>
        <w:jc w:val="left"/>
        <w:rPr>
          <w:rFonts w:hint="default"/>
          <w:lang w:val="en-US"/>
        </w:rPr>
      </w:pPr>
      <w:r>
        <w:rPr>
          <w:rFonts w:hint="eastAsia" w:asciiTheme="minorEastAsia" w:hAnsiTheme="minorEastAsia" w:eastAsiaTheme="minorEastAsia" w:cstheme="minorEastAsia"/>
          <w:b/>
          <w:bCs/>
          <w:sz w:val="28"/>
          <w:szCs w:val="28"/>
          <w:highlight w:val="none"/>
          <w:lang w:val="en-US" w:eastAsia="zh-CN"/>
        </w:rPr>
        <w:t>4、资金结余情况：</w:t>
      </w:r>
      <w:r>
        <w:rPr>
          <w:rFonts w:hint="eastAsia" w:asciiTheme="minorEastAsia" w:hAnsiTheme="minorEastAsia" w:eastAsiaTheme="minorEastAsia" w:cstheme="minorEastAsia"/>
          <w:b w:val="0"/>
          <w:bCs w:val="0"/>
          <w:sz w:val="28"/>
          <w:szCs w:val="28"/>
          <w:highlight w:val="none"/>
          <w:lang w:val="en-US" w:eastAsia="zh-CN"/>
        </w:rPr>
        <w:t>项目收入</w:t>
      </w:r>
      <w:r>
        <w:rPr>
          <w:rFonts w:hint="eastAsia" w:asciiTheme="minorEastAsia" w:hAnsiTheme="minorEastAsia" w:eastAsiaTheme="minorEastAsia" w:cstheme="minorEastAsia"/>
          <w:kern w:val="0"/>
          <w:sz w:val="28"/>
          <w:szCs w:val="28"/>
          <w:lang w:val="en-US" w:eastAsia="zh-CN" w:bidi="ar-SA"/>
        </w:rPr>
        <w:t>633.77万元</w:t>
      </w:r>
      <w:r>
        <w:rPr>
          <w:rFonts w:hint="eastAsia" w:asciiTheme="minorEastAsia" w:hAnsiTheme="minorEastAsia" w:eastAsiaTheme="minorEastAsia" w:cstheme="minorEastAsia"/>
          <w:b w:val="0"/>
          <w:bCs w:val="0"/>
          <w:kern w:val="0"/>
          <w:sz w:val="28"/>
          <w:szCs w:val="28"/>
          <w:highlight w:val="none"/>
          <w:lang w:val="en-US" w:eastAsia="zh-CN" w:bidi="ar-SA"/>
        </w:rPr>
        <w:t>，</w:t>
      </w:r>
      <w:r>
        <w:rPr>
          <w:rFonts w:hint="eastAsia" w:asciiTheme="minorEastAsia" w:hAnsiTheme="minorEastAsia" w:eastAsiaTheme="minorEastAsia" w:cstheme="minorEastAsia"/>
          <w:b w:val="0"/>
          <w:bCs w:val="0"/>
          <w:sz w:val="28"/>
          <w:szCs w:val="28"/>
          <w:highlight w:val="none"/>
        </w:rPr>
        <w:t>实际</w:t>
      </w:r>
      <w:r>
        <w:rPr>
          <w:rFonts w:hint="eastAsia" w:asciiTheme="minorEastAsia" w:hAnsiTheme="minorEastAsia" w:eastAsiaTheme="minorEastAsia" w:cstheme="minorEastAsia"/>
          <w:b w:val="0"/>
          <w:bCs w:val="0"/>
          <w:sz w:val="28"/>
          <w:szCs w:val="28"/>
          <w:highlight w:val="none"/>
          <w:lang w:eastAsia="zh-CN"/>
        </w:rPr>
        <w:t>共支出</w:t>
      </w:r>
      <w:r>
        <w:rPr>
          <w:rFonts w:hint="eastAsia" w:asciiTheme="minorEastAsia" w:hAnsiTheme="minorEastAsia" w:eastAsiaTheme="minorEastAsia" w:cstheme="minorEastAsia"/>
          <w:bCs/>
          <w:kern w:val="2"/>
          <w:sz w:val="28"/>
          <w:szCs w:val="28"/>
          <w:lang w:val="en-US" w:eastAsia="zh-CN" w:bidi="ar-SA"/>
        </w:rPr>
        <w:t>722.16万</w:t>
      </w:r>
      <w:r>
        <w:rPr>
          <w:rFonts w:hint="eastAsia" w:ascii="宋体" w:hAnsi="宋体" w:eastAsia="宋体" w:cs="宋体"/>
          <w:b w:val="0"/>
          <w:bCs w:val="0"/>
          <w:sz w:val="28"/>
          <w:szCs w:val="28"/>
          <w:highlight w:val="none"/>
        </w:rPr>
        <w:t>元，</w:t>
      </w:r>
      <w:r>
        <w:rPr>
          <w:rFonts w:hint="eastAsia" w:ascii="宋体" w:hAnsi="宋体" w:cs="宋体"/>
          <w:b w:val="0"/>
          <w:bCs w:val="0"/>
          <w:sz w:val="28"/>
          <w:szCs w:val="28"/>
          <w:highlight w:val="none"/>
          <w:lang w:eastAsia="zh-CN"/>
        </w:rPr>
        <w:t>当年</w:t>
      </w:r>
      <w:r>
        <w:rPr>
          <w:rFonts w:hint="eastAsia" w:ascii="宋体" w:hAnsi="宋体" w:cs="宋体"/>
          <w:b w:val="0"/>
          <w:bCs w:val="0"/>
          <w:sz w:val="28"/>
          <w:szCs w:val="28"/>
          <w:highlight w:val="none"/>
          <w:lang w:val="en-US" w:eastAsia="zh-CN"/>
        </w:rPr>
        <w:t>无</w:t>
      </w:r>
      <w:r>
        <w:rPr>
          <w:rFonts w:hint="eastAsia" w:ascii="宋体" w:hAnsi="宋体" w:eastAsia="宋体" w:cs="宋体"/>
          <w:b w:val="0"/>
          <w:bCs w:val="0"/>
          <w:kern w:val="2"/>
          <w:sz w:val="28"/>
          <w:szCs w:val="28"/>
          <w:highlight w:val="none"/>
          <w:lang w:val="en-US" w:eastAsia="zh-CN" w:bidi="ar-SA"/>
        </w:rPr>
        <w:t>结余</w:t>
      </w:r>
      <w:r>
        <w:rPr>
          <w:rFonts w:hint="eastAsia" w:ascii="宋体" w:hAnsi="宋体" w:cs="宋体"/>
          <w:b w:val="0"/>
          <w:bCs w:val="0"/>
          <w:kern w:val="2"/>
          <w:sz w:val="28"/>
          <w:szCs w:val="28"/>
          <w:highlight w:val="none"/>
          <w:lang w:val="en-US" w:eastAsia="zh-CN" w:bidi="ar-SA"/>
        </w:rPr>
        <w:t>，超出部分使用的是环卫绿化服务所上年结转经费。</w:t>
      </w:r>
    </w:p>
    <w:p>
      <w:pPr>
        <w:spacing w:line="600" w:lineRule="exact"/>
        <w:ind w:firstLine="562" w:firstLineChars="200"/>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5、资金管理制度情况</w:t>
      </w:r>
    </w:p>
    <w:p>
      <w:pPr>
        <w:spacing w:line="600" w:lineRule="exact"/>
        <w:ind w:firstLine="560" w:firstLineChars="200"/>
        <w:jc w:val="left"/>
        <w:rPr>
          <w:rFonts w:hint="eastAsia" w:ascii="宋体" w:hAnsi="宋体" w:cs="宋体"/>
          <w:b w:val="0"/>
          <w:bCs w:val="0"/>
          <w:kern w:val="2"/>
          <w:sz w:val="28"/>
          <w:szCs w:val="28"/>
          <w:highlight w:val="none"/>
          <w:lang w:val="en-US" w:eastAsia="zh-CN" w:bidi="ar-SA"/>
        </w:rPr>
      </w:pPr>
      <w:r>
        <w:rPr>
          <w:rFonts w:hint="eastAsia" w:ascii="宋体" w:hAnsi="宋体" w:cs="宋体"/>
          <w:b w:val="0"/>
          <w:bCs w:val="0"/>
          <w:kern w:val="2"/>
          <w:sz w:val="28"/>
          <w:szCs w:val="28"/>
          <w:highlight w:val="none"/>
          <w:lang w:val="en-US" w:eastAsia="zh-CN" w:bidi="ar-SA"/>
        </w:rPr>
        <w:t>云溪环卫绿化服务所提供了《内部管理制度汇编》，其中包含了财务管理制度、绿化组人员管理制度、绿化养护安全管理制度、云溪区环卫绿化管理所督查考评实施方案、云溪区环卫绿化管理所工作综合考核细则等每个方面的管理规定，制度中规定了绿化管理考核内容、考核范围、明确了每个职工责任路段巡查次数，以及巡查后反馈整改等规定。</w:t>
      </w:r>
    </w:p>
    <w:p>
      <w:pPr>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二、绩效评价工作情况</w:t>
      </w:r>
    </w:p>
    <w:p>
      <w:pPr>
        <w:ind w:firstLine="562" w:firstLineChars="200"/>
        <w:rPr>
          <w:rFonts w:hint="eastAsia" w:asciiTheme="minorEastAsia" w:hAnsiTheme="minorEastAsia" w:eastAsiaTheme="minorEastAsia" w:cstheme="minorEastAsia"/>
          <w:b/>
          <w:color w:val="000000"/>
          <w:kern w:val="0"/>
          <w:sz w:val="28"/>
          <w:szCs w:val="28"/>
          <w:highlight w:val="none"/>
        </w:rPr>
      </w:pPr>
      <w:r>
        <w:rPr>
          <w:rFonts w:hint="eastAsia" w:asciiTheme="minorEastAsia" w:hAnsiTheme="minorEastAsia" w:eastAsiaTheme="minorEastAsia" w:cstheme="minorEastAsia"/>
          <w:b/>
          <w:color w:val="000000"/>
          <w:kern w:val="0"/>
          <w:sz w:val="28"/>
          <w:szCs w:val="28"/>
          <w:highlight w:val="none"/>
        </w:rPr>
        <w:t>（一）绩效评价的目的</w:t>
      </w:r>
    </w:p>
    <w:p>
      <w:pPr>
        <w:ind w:firstLine="560"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sz w:val="28"/>
          <w:szCs w:val="28"/>
          <w:highlight w:val="none"/>
        </w:rPr>
        <w:t>通过对项目的绩效评价，了解该项目基本立项情况；项目的资金来源、投向和管理情况；项目组织工作实施情况；项目投入是否达到预期目标；总结经验，分析问题，</w:t>
      </w:r>
      <w:r>
        <w:rPr>
          <w:rFonts w:hint="eastAsia" w:asciiTheme="minorEastAsia" w:hAnsiTheme="minorEastAsia" w:eastAsiaTheme="minorEastAsia" w:cstheme="minorEastAsia"/>
          <w:bCs/>
          <w:sz w:val="28"/>
          <w:szCs w:val="28"/>
          <w:highlight w:val="none"/>
        </w:rPr>
        <w:t>优化项目资金管理。</w:t>
      </w:r>
    </w:p>
    <w:p>
      <w:pPr>
        <w:tabs>
          <w:tab w:val="left" w:pos="5760"/>
        </w:tabs>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（二）绩效评价原则、指标体系</w:t>
      </w:r>
      <w:r>
        <w:rPr>
          <w:rFonts w:hint="eastAsia" w:asciiTheme="minorEastAsia" w:hAnsiTheme="minorEastAsia" w:eastAsiaTheme="minorEastAsia" w:cstheme="minorEastAsia"/>
          <w:b/>
          <w:sz w:val="28"/>
          <w:szCs w:val="28"/>
          <w:highlight w:val="none"/>
          <w:lang w:eastAsia="zh-CN"/>
        </w:rPr>
        <w:t>及</w:t>
      </w:r>
      <w:r>
        <w:rPr>
          <w:rFonts w:hint="eastAsia" w:asciiTheme="minorEastAsia" w:hAnsiTheme="minorEastAsia" w:eastAsiaTheme="minorEastAsia" w:cstheme="minorEastAsia"/>
          <w:b/>
          <w:sz w:val="28"/>
          <w:szCs w:val="28"/>
          <w:highlight w:val="none"/>
        </w:rPr>
        <w:t>标准和评价方法</w:t>
      </w:r>
    </w:p>
    <w:p>
      <w:pPr>
        <w:ind w:firstLine="562"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z w:val="28"/>
          <w:szCs w:val="28"/>
          <w:highlight w:val="none"/>
        </w:rPr>
        <w:t>1.</w:t>
      </w:r>
      <w:r>
        <w:rPr>
          <w:rFonts w:hint="eastAsia" w:asciiTheme="minorEastAsia" w:hAnsiTheme="minorEastAsia" w:eastAsiaTheme="minorEastAsia" w:cstheme="minorEastAsia"/>
          <w:b/>
          <w:sz w:val="28"/>
          <w:szCs w:val="28"/>
          <w:highlight w:val="none"/>
        </w:rPr>
        <w:t>绩效评价原则</w:t>
      </w: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遵循科学规范、公正公开和绩效相关的原则。</w:t>
      </w:r>
    </w:p>
    <w:p>
      <w:pPr>
        <w:spacing w:line="300" w:lineRule="auto"/>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2.绩效指标体系及标准</w:t>
      </w: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指标体系包括共性和个性指标两部分，本次主要参照了财政局制定的《</w:t>
      </w:r>
      <w:r>
        <w:rPr>
          <w:rFonts w:hint="eastAsia" w:asciiTheme="minorEastAsia" w:hAnsiTheme="minorEastAsia" w:eastAsiaTheme="minorEastAsia" w:cstheme="minorEastAsia"/>
          <w:sz w:val="28"/>
          <w:szCs w:val="28"/>
          <w:highlight w:val="none"/>
          <w:lang w:val="en-US" w:eastAsia="zh-CN"/>
        </w:rPr>
        <w:t>云溪区</w:t>
      </w:r>
      <w:r>
        <w:rPr>
          <w:rFonts w:hint="eastAsia" w:asciiTheme="minorEastAsia" w:hAnsiTheme="minorEastAsia" w:eastAsiaTheme="minorEastAsia" w:cstheme="minorEastAsia"/>
          <w:sz w:val="28"/>
          <w:szCs w:val="28"/>
          <w:highlight w:val="none"/>
        </w:rPr>
        <w:t>项目支出绩效评价指标体系（参考样表）》共性指标体系相关内容，根据项目实施的具体情况对个性指标进行了调整细化，形成了《</w:t>
      </w:r>
      <w:r>
        <w:rPr>
          <w:rFonts w:hint="eastAsia" w:asciiTheme="minorEastAsia" w:hAnsiTheme="minorEastAsia" w:eastAsiaTheme="minorEastAsia" w:cstheme="minorEastAsia"/>
          <w:sz w:val="28"/>
          <w:szCs w:val="28"/>
          <w:highlight w:val="none"/>
          <w:lang w:val="en-US" w:eastAsia="zh-CN"/>
        </w:rPr>
        <w:t>云溪区2022年度两厂片区环卫绿化外包及管理费绩效评价指标体系</w:t>
      </w:r>
      <w:r>
        <w:rPr>
          <w:rFonts w:hint="eastAsia" w:asciiTheme="minorEastAsia" w:hAnsiTheme="minorEastAsia" w:eastAsiaTheme="minorEastAsia" w:cstheme="minorEastAsia"/>
          <w:sz w:val="28"/>
          <w:szCs w:val="28"/>
          <w:highlight w:val="none"/>
        </w:rPr>
        <w:t>》（附件1）及评价标准《</w:t>
      </w:r>
      <w:r>
        <w:rPr>
          <w:rFonts w:hint="eastAsia" w:asciiTheme="minorEastAsia" w:hAnsiTheme="minorEastAsia" w:eastAsiaTheme="minorEastAsia" w:cstheme="minorEastAsia"/>
          <w:sz w:val="28"/>
          <w:szCs w:val="28"/>
          <w:highlight w:val="none"/>
          <w:lang w:val="en-US" w:eastAsia="zh-CN"/>
        </w:rPr>
        <w:t>云溪区2022年度两厂片区环卫绿化外包及管理费绩效评分表</w:t>
      </w:r>
      <w:r>
        <w:rPr>
          <w:rFonts w:hint="eastAsia" w:asciiTheme="minorEastAsia" w:hAnsiTheme="minorEastAsia" w:eastAsiaTheme="minorEastAsia" w:cstheme="minorEastAsia"/>
          <w:sz w:val="28"/>
          <w:szCs w:val="28"/>
          <w:highlight w:val="none"/>
        </w:rPr>
        <w:t>》（附件2）。</w:t>
      </w:r>
    </w:p>
    <w:p>
      <w:pPr>
        <w:numPr>
          <w:ilvl w:val="0"/>
          <w:numId w:val="0"/>
        </w:numPr>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lang w:val="en-US" w:eastAsia="zh-CN"/>
        </w:rPr>
        <w:t>3.</w:t>
      </w:r>
      <w:r>
        <w:rPr>
          <w:rFonts w:hint="eastAsia" w:asciiTheme="minorEastAsia" w:hAnsiTheme="minorEastAsia" w:eastAsiaTheme="minorEastAsia" w:cstheme="minorEastAsia"/>
          <w:b/>
          <w:sz w:val="28"/>
          <w:szCs w:val="28"/>
          <w:highlight w:val="none"/>
        </w:rPr>
        <w:t>绩效评价方法和内容</w:t>
      </w:r>
    </w:p>
    <w:p>
      <w:pPr>
        <w:ind w:firstLine="560" w:firstLineChars="200"/>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sz w:val="28"/>
          <w:szCs w:val="28"/>
          <w:highlight w:val="none"/>
        </w:rPr>
        <w:t>本次绩效评价方法为逻辑分析法、比较法、因素分析法、公众评判法和实地查验等评价方法。评价内容包括项目决策、项目管理、项目绩效三部分内容。主要围绕资金投向、资源配置、项目管理等方面客观分析项目的产出，体现从投入－产出－预期效果对绩效的影响，</w:t>
      </w:r>
      <w:r>
        <w:rPr>
          <w:rFonts w:hint="eastAsia" w:asciiTheme="minorEastAsia" w:hAnsiTheme="minorEastAsia" w:eastAsiaTheme="minorEastAsia" w:cstheme="minorEastAsia"/>
          <w:color w:val="000000"/>
          <w:kern w:val="0"/>
          <w:sz w:val="28"/>
          <w:szCs w:val="28"/>
          <w:highlight w:val="none"/>
        </w:rPr>
        <w:t>通过对项目实施活动中的检查评价，及时发现项目</w:t>
      </w:r>
      <w:r>
        <w:rPr>
          <w:rFonts w:hint="eastAsia" w:asciiTheme="minorEastAsia" w:hAnsiTheme="minorEastAsia" w:eastAsiaTheme="minorEastAsia" w:cstheme="minorEastAsia"/>
          <w:color w:val="000000"/>
          <w:kern w:val="0"/>
          <w:sz w:val="28"/>
          <w:szCs w:val="28"/>
          <w:highlight w:val="none"/>
          <w:lang w:eastAsia="zh-CN"/>
        </w:rPr>
        <w:t>实施</w:t>
      </w:r>
      <w:r>
        <w:rPr>
          <w:rFonts w:hint="eastAsia" w:asciiTheme="minorEastAsia" w:hAnsiTheme="minorEastAsia" w:eastAsiaTheme="minorEastAsia" w:cstheme="minorEastAsia"/>
          <w:color w:val="000000"/>
          <w:kern w:val="0"/>
          <w:sz w:val="28"/>
          <w:szCs w:val="28"/>
          <w:highlight w:val="none"/>
        </w:rPr>
        <w:t>中的问题，分析产生的原因，评价项目的目标是否达到，项目的效益指标是否实现。并有针对性地提出解决问题的对策和措施，以便决策者及时</w:t>
      </w:r>
      <w:r>
        <w:rPr>
          <w:rFonts w:hint="eastAsia" w:asciiTheme="minorEastAsia" w:hAnsiTheme="minorEastAsia" w:eastAsiaTheme="minorEastAsia" w:cstheme="minorEastAsia"/>
          <w:sz w:val="28"/>
          <w:szCs w:val="28"/>
          <w:highlight w:val="none"/>
        </w:rPr>
        <w:t>总结经验，分析问题，</w:t>
      </w:r>
      <w:r>
        <w:rPr>
          <w:rFonts w:hint="eastAsia" w:asciiTheme="minorEastAsia" w:hAnsiTheme="minorEastAsia" w:eastAsiaTheme="minorEastAsia" w:cstheme="minorEastAsia"/>
          <w:bCs/>
          <w:sz w:val="28"/>
          <w:szCs w:val="28"/>
          <w:highlight w:val="none"/>
        </w:rPr>
        <w:t>优化项目资金管理</w:t>
      </w:r>
      <w:r>
        <w:rPr>
          <w:rFonts w:hint="eastAsia" w:asciiTheme="minorEastAsia" w:hAnsiTheme="minorEastAsia" w:eastAsiaTheme="minorEastAsia" w:cstheme="minorEastAsia"/>
          <w:color w:val="000000"/>
          <w:kern w:val="0"/>
          <w:sz w:val="28"/>
          <w:szCs w:val="28"/>
          <w:highlight w:val="none"/>
        </w:rPr>
        <w:t>。</w:t>
      </w:r>
    </w:p>
    <w:p>
      <w:pPr>
        <w:ind w:firstLine="562" w:firstLineChars="200"/>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bCs/>
          <w:sz w:val="28"/>
          <w:szCs w:val="28"/>
        </w:rPr>
        <w:t>（三）</w:t>
      </w:r>
      <w:r>
        <w:rPr>
          <w:rFonts w:hint="eastAsia" w:asciiTheme="minorEastAsia" w:hAnsiTheme="minorEastAsia" w:eastAsiaTheme="minorEastAsia" w:cstheme="minorEastAsia"/>
          <w:b/>
          <w:kern w:val="0"/>
          <w:sz w:val="28"/>
          <w:szCs w:val="28"/>
        </w:rPr>
        <w:t>绩效评价工作实施过程</w:t>
      </w:r>
    </w:p>
    <w:p>
      <w:pPr>
        <w:ind w:firstLine="703" w:firstLineChars="25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1.前期准备</w:t>
      </w:r>
    </w:p>
    <w:p>
      <w:pPr>
        <w:ind w:firstLine="700" w:firstLineChars="2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按《</w:t>
      </w:r>
      <w:r>
        <w:rPr>
          <w:rFonts w:hint="eastAsia" w:asciiTheme="minorEastAsia" w:hAnsiTheme="minorEastAsia" w:eastAsiaTheme="minorEastAsia" w:cstheme="minorEastAsia"/>
          <w:sz w:val="28"/>
          <w:szCs w:val="28"/>
          <w:highlight w:val="none"/>
          <w:lang w:eastAsia="zh-CN"/>
        </w:rPr>
        <w:t>通知</w:t>
      </w:r>
      <w:r>
        <w:rPr>
          <w:rFonts w:hint="eastAsia" w:asciiTheme="minorEastAsia" w:hAnsiTheme="minorEastAsia" w:eastAsiaTheme="minorEastAsia" w:cstheme="minorEastAsia"/>
          <w:sz w:val="28"/>
          <w:szCs w:val="28"/>
          <w:highlight w:val="none"/>
        </w:rPr>
        <w:t>》及相关工作要求，前期准备工作分为三个阶段。</w:t>
      </w:r>
    </w:p>
    <w:p>
      <w:pPr>
        <w:ind w:firstLine="700" w:firstLineChars="25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第一阶段，成立了绩效评价工作小组，确定了项目评价负责人，配置相应的评价人员，并对评价参与人员进行相关培训</w:t>
      </w:r>
      <w:r>
        <w:rPr>
          <w:rFonts w:hint="eastAsia" w:asciiTheme="minorEastAsia" w:hAnsiTheme="minorEastAsia" w:eastAsiaTheme="minorEastAsia" w:cstheme="minorEastAsia"/>
          <w:sz w:val="28"/>
          <w:szCs w:val="28"/>
          <w:highlight w:val="none"/>
          <w:lang w:val="en-US" w:eastAsia="zh-CN"/>
        </w:rPr>
        <w:t>。</w:t>
      </w:r>
    </w:p>
    <w:p>
      <w:pPr>
        <w:ind w:firstLine="700" w:firstLineChars="25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第二阶段，20</w:t>
      </w:r>
      <w:r>
        <w:rPr>
          <w:rFonts w:hint="eastAsia" w:asciiTheme="minorEastAsia" w:hAnsiTheme="minorEastAsia" w:eastAsiaTheme="minorEastAsia" w:cstheme="minorEastAsia"/>
          <w:sz w:val="28"/>
          <w:szCs w:val="28"/>
          <w:highlight w:val="none"/>
          <w:lang w:val="en-US" w:eastAsia="zh-CN"/>
        </w:rPr>
        <w:t>23</w:t>
      </w:r>
      <w:r>
        <w:rPr>
          <w:rFonts w:hint="eastAsia" w:asciiTheme="minorEastAsia" w:hAnsiTheme="minorEastAsia" w:eastAsiaTheme="minorEastAsia" w:cstheme="minorEastAsia"/>
          <w:sz w:val="28"/>
          <w:szCs w:val="28"/>
          <w:highlight w:val="none"/>
        </w:rPr>
        <w:t>年</w:t>
      </w:r>
      <w:r>
        <w:rPr>
          <w:rFonts w:hint="eastAsia" w:asciiTheme="minorEastAsia" w:hAnsiTheme="minorEastAsia" w:eastAsia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月</w:t>
      </w:r>
      <w:r>
        <w:rPr>
          <w:rFonts w:hint="eastAsia" w:asciiTheme="minorEastAsia" w:hAnsiTheme="minorEastAsia" w:eastAsiaTheme="minorEastAsia" w:cstheme="minorEastAsia"/>
          <w:sz w:val="28"/>
          <w:szCs w:val="28"/>
          <w:highlight w:val="none"/>
          <w:lang w:val="en-US" w:eastAsia="zh-CN"/>
        </w:rPr>
        <w:t>21</w:t>
      </w:r>
      <w:r>
        <w:rPr>
          <w:rFonts w:hint="eastAsia" w:asciiTheme="minorEastAsia" w:hAnsiTheme="minorEastAsia" w:eastAsiaTheme="minorEastAsia" w:cstheme="minorEastAsia"/>
          <w:sz w:val="28"/>
          <w:szCs w:val="28"/>
          <w:highlight w:val="none"/>
        </w:rPr>
        <w:t>日绩效评价工作小组在</w:t>
      </w:r>
      <w:r>
        <w:rPr>
          <w:rFonts w:hint="eastAsia" w:asciiTheme="minorEastAsia" w:hAnsiTheme="minorEastAsia" w:eastAsiaTheme="minorEastAsia" w:cstheme="minorEastAsia"/>
          <w:sz w:val="28"/>
          <w:szCs w:val="28"/>
          <w:highlight w:val="none"/>
          <w:lang w:val="en-US" w:eastAsia="zh-CN"/>
        </w:rPr>
        <w:t>区</w:t>
      </w:r>
      <w:r>
        <w:rPr>
          <w:rFonts w:hint="eastAsia" w:asciiTheme="minorEastAsia" w:hAnsiTheme="minorEastAsia" w:eastAsiaTheme="minorEastAsia" w:cstheme="minorEastAsia"/>
          <w:sz w:val="28"/>
          <w:szCs w:val="28"/>
          <w:highlight w:val="none"/>
        </w:rPr>
        <w:t>财政局绩效评价股的带领下，听取了</w:t>
      </w:r>
      <w:r>
        <w:rPr>
          <w:rFonts w:hint="eastAsia" w:asciiTheme="minorEastAsia" w:hAnsiTheme="minorEastAsia" w:eastAsiaTheme="minorEastAsia" w:cstheme="minorEastAsia"/>
          <w:sz w:val="28"/>
          <w:szCs w:val="28"/>
          <w:highlight w:val="none"/>
          <w:lang w:val="en-US" w:eastAsia="zh-CN"/>
        </w:rPr>
        <w:t>环卫绿化服务所</w:t>
      </w:r>
      <w:r>
        <w:rPr>
          <w:rFonts w:hint="eastAsia" w:asciiTheme="minorEastAsia" w:hAnsiTheme="minorEastAsia" w:eastAsiaTheme="minorEastAsia" w:cstheme="minorEastAsia"/>
          <w:sz w:val="28"/>
          <w:szCs w:val="28"/>
          <w:highlight w:val="none"/>
        </w:rPr>
        <w:t>对项目的情况介绍，初步了解被评价项目的有关基本情况，</w:t>
      </w:r>
      <w:r>
        <w:rPr>
          <w:rFonts w:hint="eastAsia" w:asciiTheme="minorEastAsia" w:hAnsiTheme="minorEastAsia" w:eastAsiaTheme="minorEastAsia" w:cstheme="minorEastAsia"/>
          <w:sz w:val="28"/>
          <w:szCs w:val="28"/>
          <w:highlight w:val="none"/>
          <w:lang w:eastAsia="zh-CN"/>
        </w:rPr>
        <w:t>向</w:t>
      </w:r>
      <w:r>
        <w:rPr>
          <w:rFonts w:hint="eastAsia" w:asciiTheme="minorEastAsia" w:hAnsiTheme="minorEastAsia" w:eastAsiaTheme="minorEastAsia" w:cstheme="minorEastAsia"/>
          <w:sz w:val="28"/>
          <w:szCs w:val="28"/>
          <w:highlight w:val="none"/>
          <w:lang w:val="en-US" w:eastAsia="zh-CN"/>
        </w:rPr>
        <w:t>环卫绿化服务所</w:t>
      </w:r>
      <w:r>
        <w:rPr>
          <w:rFonts w:hint="eastAsia" w:asciiTheme="minorEastAsia" w:hAnsiTheme="minorEastAsia" w:eastAsiaTheme="minorEastAsia" w:cstheme="minorEastAsia"/>
          <w:sz w:val="28"/>
          <w:szCs w:val="28"/>
          <w:highlight w:val="none"/>
          <w:lang w:eastAsia="zh-CN"/>
        </w:rPr>
        <w:t>提交了《绩效评价所需资料清单》</w:t>
      </w:r>
      <w:r>
        <w:rPr>
          <w:rFonts w:hint="eastAsia" w:asciiTheme="minorEastAsia" w:hAnsiTheme="minorEastAsia" w:eastAsiaTheme="minorEastAsia" w:cstheme="minorEastAsia"/>
          <w:sz w:val="28"/>
          <w:szCs w:val="28"/>
          <w:highlight w:val="none"/>
        </w:rPr>
        <w:t>。</w:t>
      </w:r>
    </w:p>
    <w:p>
      <w:pPr>
        <w:ind w:firstLine="700" w:firstLineChars="2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第三阶段，根据</w:t>
      </w:r>
      <w:r>
        <w:rPr>
          <w:rFonts w:hint="eastAsia" w:asciiTheme="minorEastAsia" w:hAnsiTheme="minorEastAsia" w:eastAsiaTheme="minorEastAsia" w:cstheme="minorEastAsia"/>
          <w:sz w:val="28"/>
          <w:szCs w:val="28"/>
          <w:highlight w:val="none"/>
          <w:lang w:val="en-US" w:eastAsia="zh-CN"/>
        </w:rPr>
        <w:t>区财政局</w:t>
      </w:r>
      <w:r>
        <w:rPr>
          <w:rFonts w:hint="eastAsia" w:asciiTheme="minorEastAsia" w:hAnsiTheme="minorEastAsia" w:eastAsiaTheme="minorEastAsia" w:cstheme="minorEastAsia"/>
          <w:sz w:val="28"/>
          <w:szCs w:val="28"/>
          <w:highlight w:val="none"/>
        </w:rPr>
        <w:t>绩效评价股的指导意见，绩效评价工作小组制订了绩效评价方案、评价体系指标、调查问卷</w:t>
      </w:r>
      <w:r>
        <w:rPr>
          <w:rFonts w:hint="eastAsia" w:asciiTheme="minorEastAsia" w:hAnsiTheme="minorEastAsia" w:eastAsiaTheme="minorEastAsia" w:cstheme="minorEastAsia"/>
          <w:sz w:val="28"/>
          <w:szCs w:val="28"/>
          <w:highlight w:val="none"/>
          <w:lang w:eastAsia="zh-CN"/>
        </w:rPr>
        <w:t>表（见附件）</w:t>
      </w:r>
      <w:r>
        <w:rPr>
          <w:rFonts w:hint="eastAsia" w:asciiTheme="minorEastAsia" w:hAnsiTheme="minorEastAsia" w:eastAsiaTheme="minorEastAsia" w:cstheme="minorEastAsia"/>
          <w:sz w:val="28"/>
          <w:szCs w:val="28"/>
          <w:highlight w:val="none"/>
        </w:rPr>
        <w:t>等。</w:t>
      </w:r>
    </w:p>
    <w:p>
      <w:pP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kern w:val="0"/>
          <w:sz w:val="28"/>
          <w:szCs w:val="28"/>
          <w:highlight w:val="none"/>
        </w:rPr>
        <w:t xml:space="preserve">    </w:t>
      </w:r>
      <w:r>
        <w:rPr>
          <w:rFonts w:hint="eastAsia" w:asciiTheme="minorEastAsia" w:hAnsiTheme="minorEastAsia" w:eastAsiaTheme="minorEastAsia" w:cstheme="minorEastAsia"/>
          <w:b/>
          <w:sz w:val="28"/>
          <w:szCs w:val="28"/>
          <w:highlight w:val="none"/>
        </w:rPr>
        <w:t xml:space="preserve"> 2.组织实施过程</w:t>
      </w:r>
    </w:p>
    <w:p>
      <w:pPr>
        <w:ind w:firstLine="548" w:firstLineChars="1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lang w:val="en-US" w:eastAsia="zh-CN"/>
        </w:rPr>
        <w:t>23</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月，绩效评价工作小组调阅项目单位相关资料、核实</w:t>
      </w:r>
      <w:r>
        <w:rPr>
          <w:rFonts w:hint="eastAsia" w:asciiTheme="minorEastAsia" w:hAnsiTheme="minorEastAsia" w:eastAsiaTheme="minorEastAsia" w:cstheme="minorEastAsia"/>
          <w:sz w:val="28"/>
          <w:szCs w:val="28"/>
          <w:lang w:eastAsia="zh-CN"/>
        </w:rPr>
        <w:t>资金拨付情况、</w:t>
      </w:r>
      <w:r>
        <w:rPr>
          <w:rFonts w:hint="eastAsia" w:asciiTheme="minorEastAsia" w:hAnsiTheme="minorEastAsia" w:eastAsiaTheme="minorEastAsia" w:cstheme="minorEastAsia"/>
          <w:sz w:val="28"/>
          <w:szCs w:val="28"/>
        </w:rPr>
        <w:t>询问等方式对项目展开考评。</w:t>
      </w:r>
    </w:p>
    <w:p>
      <w:pPr>
        <w:ind w:firstLine="548" w:firstLineChars="196"/>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（1）资料收集</w:t>
      </w:r>
      <w:r>
        <w:rPr>
          <w:rFonts w:hint="eastAsia" w:asciiTheme="minorEastAsia" w:hAnsiTheme="minorEastAsia" w:eastAsiaTheme="minorEastAsia" w:cstheme="minorEastAsia"/>
          <w:strike w:val="0"/>
          <w:dstrike w:val="0"/>
          <w:color w:val="auto"/>
          <w:sz w:val="28"/>
          <w:szCs w:val="28"/>
          <w:lang w:eastAsia="zh-CN"/>
        </w:rPr>
        <w:t>，确定项目目标</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绩效评价工作小组搜集并认真学习研究了项</w:t>
      </w:r>
      <w:r>
        <w:rPr>
          <w:rFonts w:hint="eastAsia" w:asciiTheme="minorEastAsia" w:hAnsiTheme="minorEastAsia" w:eastAsiaTheme="minorEastAsia" w:cstheme="minorEastAsia"/>
          <w:sz w:val="28"/>
          <w:szCs w:val="28"/>
          <w:highlight w:val="none"/>
        </w:rPr>
        <w:t>目相关的政策性文件和业务文件、管理办法等</w:t>
      </w:r>
      <w:r>
        <w:rPr>
          <w:rFonts w:hint="eastAsia" w:asciiTheme="minorEastAsia" w:hAnsiTheme="minorEastAsia" w:eastAsiaTheme="minorEastAsia" w:cstheme="minorEastAsia"/>
          <w:sz w:val="28"/>
          <w:szCs w:val="28"/>
          <w:highlight w:val="none"/>
          <w:lang w:eastAsia="zh-CN"/>
        </w:rPr>
        <w:t>，进行认真研究。</w:t>
      </w:r>
    </w:p>
    <w:p>
      <w:pPr>
        <w:ind w:firstLine="548" w:firstLineChars="196"/>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2）核实账目资金</w:t>
      </w:r>
      <w:r>
        <w:rPr>
          <w:rFonts w:hint="eastAsia" w:asciiTheme="minorEastAsia" w:hAnsiTheme="minorEastAsia" w:eastAsiaTheme="minorEastAsia" w:cstheme="minorEastAsia"/>
          <w:sz w:val="28"/>
          <w:szCs w:val="28"/>
          <w:highlight w:val="none"/>
        </w:rPr>
        <w:t>。</w:t>
      </w:r>
    </w:p>
    <w:p>
      <w:pPr>
        <w:ind w:firstLine="548" w:firstLineChars="196"/>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）调查问卷。</w:t>
      </w:r>
      <w:r>
        <w:rPr>
          <w:rFonts w:hint="eastAsia" w:asciiTheme="minorEastAsia" w:hAnsiTheme="minorEastAsia" w:eastAsiaTheme="minorEastAsia" w:cstheme="minorEastAsia"/>
          <w:color w:val="auto"/>
          <w:sz w:val="28"/>
          <w:szCs w:val="28"/>
          <w:highlight w:val="none"/>
          <w:lang w:eastAsia="zh-CN"/>
        </w:rPr>
        <w:t>调查问卷共</w:t>
      </w:r>
      <w:r>
        <w:rPr>
          <w:rFonts w:hint="eastAsia" w:asciiTheme="minorEastAsia" w:hAnsiTheme="minorEastAsia" w:eastAsiaTheme="minorEastAsia" w:cstheme="minorEastAsia"/>
          <w:color w:val="auto"/>
          <w:sz w:val="28"/>
          <w:szCs w:val="28"/>
          <w:highlight w:val="none"/>
          <w:lang w:val="en-US" w:eastAsia="zh-CN"/>
        </w:rPr>
        <w:t>10题，内容主要涉及到对两厂片区环境卫生绿化维护是否满意</w:t>
      </w:r>
      <w:r>
        <w:rPr>
          <w:rFonts w:hint="eastAsia" w:asciiTheme="minorEastAsia" w:hAnsiTheme="minorEastAsia" w:eastAsiaTheme="minorEastAsia" w:cstheme="minorEastAsia"/>
          <w:color w:val="auto"/>
          <w:sz w:val="28"/>
          <w:szCs w:val="28"/>
          <w:highlight w:val="none"/>
          <w:lang w:eastAsia="zh-CN"/>
        </w:rPr>
        <w:t>等方面内容。</w:t>
      </w:r>
      <w:r>
        <w:rPr>
          <w:rFonts w:hint="eastAsia" w:asciiTheme="minorEastAsia" w:hAnsiTheme="minorEastAsia" w:eastAsiaTheme="minorEastAsia" w:cstheme="minorEastAsia"/>
          <w:color w:val="auto"/>
          <w:sz w:val="28"/>
          <w:szCs w:val="28"/>
          <w:highlight w:val="none"/>
          <w:lang w:val="en-US" w:eastAsia="zh-CN"/>
        </w:rPr>
        <w:t>发放调查问卷共20份，</w:t>
      </w:r>
      <w:r>
        <w:rPr>
          <w:rFonts w:hint="eastAsia" w:asciiTheme="minorEastAsia" w:hAnsiTheme="minorEastAsia" w:eastAsiaTheme="minorEastAsia" w:cstheme="minorEastAsia"/>
          <w:color w:val="auto"/>
          <w:sz w:val="28"/>
          <w:szCs w:val="28"/>
        </w:rPr>
        <w:t>回收有效问卷</w:t>
      </w:r>
      <w:r>
        <w:rPr>
          <w:rFonts w:hint="eastAsia" w:asciiTheme="minorEastAsia" w:hAnsiTheme="minorEastAsia" w:eastAsiaTheme="minorEastAsia" w:cstheme="minorEastAsia"/>
          <w:color w:val="auto"/>
          <w:sz w:val="28"/>
          <w:szCs w:val="28"/>
          <w:lang w:val="en-US" w:eastAsia="zh-CN"/>
        </w:rPr>
        <w:t>20人</w:t>
      </w:r>
      <w:r>
        <w:rPr>
          <w:rFonts w:hint="eastAsia" w:asciiTheme="minorEastAsia" w:hAnsiTheme="minorEastAsia" w:eastAsiaTheme="minorEastAsia" w:cstheme="minorEastAsia"/>
          <w:color w:val="auto"/>
          <w:sz w:val="28"/>
          <w:szCs w:val="28"/>
        </w:rPr>
        <w:t>/次，回收率100%</w:t>
      </w:r>
      <w:r>
        <w:rPr>
          <w:rFonts w:hint="eastAsia" w:asciiTheme="minorEastAsia" w:hAnsiTheme="minorEastAsia" w:eastAsiaTheme="minorEastAsia" w:cstheme="minorEastAsia"/>
          <w:color w:val="auto"/>
          <w:sz w:val="28"/>
          <w:szCs w:val="28"/>
          <w:highlight w:val="none"/>
          <w:lang w:val="en-US" w:eastAsia="zh-CN"/>
        </w:rPr>
        <w:t>。</w:t>
      </w:r>
    </w:p>
    <w:p>
      <w:pPr>
        <w:tabs>
          <w:tab w:val="left" w:pos="0"/>
        </w:tabs>
        <w:spacing w:line="620" w:lineRule="exact"/>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3.分析评价</w:t>
      </w:r>
    </w:p>
    <w:p>
      <w:pPr>
        <w:pStyle w:val="34"/>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根据现场考评情况，对收集的资料进行整理、汇总分析，根据设定的绩效评价指标体系制订了评价指标底稿，每个底稿均有扣分、得分依据、附件内容、评价人员意见等，根据底稿汇总，制订了绩效评价评分汇总表，最终形成《</w:t>
      </w:r>
      <w:r>
        <w:rPr>
          <w:rFonts w:hint="eastAsia" w:asciiTheme="minorEastAsia" w:hAnsiTheme="minorEastAsia" w:eastAsiaTheme="minorEastAsia" w:cstheme="minorEastAsia"/>
          <w:sz w:val="28"/>
          <w:szCs w:val="28"/>
          <w:highlight w:val="none"/>
          <w:lang w:val="en-US" w:eastAsia="zh-CN"/>
        </w:rPr>
        <w:t>云溪区2022年度两厂片区环卫绿化外包及管理费绩效评价报告书</w:t>
      </w:r>
      <w:r>
        <w:rPr>
          <w:rFonts w:hint="eastAsia" w:asciiTheme="minorEastAsia" w:hAnsiTheme="minorEastAsia" w:eastAsiaTheme="minorEastAsia" w:cstheme="minorEastAsia"/>
          <w:sz w:val="28"/>
          <w:szCs w:val="28"/>
          <w:highlight w:val="none"/>
        </w:rPr>
        <w:t>》。</w:t>
      </w:r>
    </w:p>
    <w:p>
      <w:pPr>
        <w:numPr>
          <w:ilvl w:val="0"/>
          <w:numId w:val="0"/>
        </w:numPr>
        <w:spacing w:line="600" w:lineRule="exact"/>
        <w:ind w:leftChars="200" w:firstLine="281"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eastAsia="zh-CN"/>
        </w:rPr>
        <w:t>（四）绩效目标的实现程度</w:t>
      </w:r>
    </w:p>
    <w:p>
      <w:pPr>
        <w:numPr>
          <w:ilvl w:val="0"/>
          <w:numId w:val="0"/>
        </w:numPr>
        <w:ind w:firstLine="843" w:firstLineChars="300"/>
        <w:jc w:val="left"/>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lang w:val="en-US" w:eastAsia="zh-CN"/>
        </w:rPr>
        <w:t>1、</w:t>
      </w:r>
      <w:r>
        <w:rPr>
          <w:rFonts w:hint="eastAsia" w:asciiTheme="minorEastAsia" w:hAnsiTheme="minorEastAsia" w:eastAsiaTheme="minorEastAsia" w:cstheme="minorEastAsia"/>
          <w:b/>
          <w:bCs/>
          <w:kern w:val="0"/>
          <w:sz w:val="28"/>
          <w:szCs w:val="28"/>
        </w:rPr>
        <w:t>项目产出完成情况及分析</w:t>
      </w:r>
    </w:p>
    <w:p>
      <w:pPr>
        <w:ind w:firstLine="560" w:firstLineChars="200"/>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（1）根据2021年5月12日第44资岳阳市云溪区人民政府常务会议纪要、2021年2月1日岳云政专纪﹝2021﹞4号 &lt;关于推进驻区央企办社会职能分离移交工作的专题会议纪要&gt;，有关移交区域清扫保洁、清洗清运、绿化管养等相关问题，明确区城管局要迅速启动政府采购程序与底层承包商签订过渡期承包协议，并迅速启动过渡期后移交区域清扫保洁，清洗清运、绿化管养等事项的招投标工作。</w:t>
      </w:r>
    </w:p>
    <w:p>
      <w:pPr>
        <w:ind w:firstLine="560" w:firstLineChars="200"/>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环卫绿化服务所于2022年1月26日和2022年1月24日完成两厂片区清扫保洁、洒水清洗、垃圾收转运、绿化管养招标工作，并分别与岳阳志利保洁公司和岳阳山水物业公司签订外包合同，明细如下：</w:t>
      </w:r>
    </w:p>
    <w:p>
      <w:pPr>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 xml:space="preserve"> ①2022年1月26日，云溪区岳化片区清扫保洁、洒水、清洗服务项目通过竞争性磋商采购方式，最后中标单位是岳阳市志利保洁有限公司，中标金额163.99万元，实付金额163.99万元。</w:t>
      </w:r>
    </w:p>
    <w:p>
      <w:pPr>
        <w:rPr>
          <w:rFonts w:hint="eastAsia" w:ascii="宋体" w:hAnsi="宋体" w:cs="宋体"/>
          <w:sz w:val="28"/>
          <w:szCs w:val="28"/>
          <w:lang w:val="en-US" w:eastAsia="zh-CN"/>
        </w:rPr>
      </w:pPr>
      <w:r>
        <w:rPr>
          <w:rFonts w:hint="eastAsia" w:ascii="宋体" w:hAnsi="宋体" w:cs="宋体"/>
          <w:sz w:val="28"/>
          <w:szCs w:val="28"/>
          <w:lang w:val="en-US" w:eastAsia="zh-CN"/>
        </w:rPr>
        <w:t xml:space="preserve">     ②2022年1月24日，云溪区岳化片区绿化管养、垃圾收转运项目通过竞争性磋商采购方式，最后中标单位是岳阳市志利保洁有限公司，中标金额104.47万元，实付金额104.47万元。</w:t>
      </w:r>
    </w:p>
    <w:p>
      <w:pPr>
        <w:rPr>
          <w:rFonts w:hint="eastAsia" w:ascii="宋体" w:hAnsi="宋体" w:cs="宋体"/>
          <w:sz w:val="28"/>
          <w:szCs w:val="28"/>
          <w:lang w:val="en-US" w:eastAsia="zh-CN"/>
        </w:rPr>
      </w:pPr>
      <w:r>
        <w:rPr>
          <w:rFonts w:hint="eastAsia" w:ascii="宋体" w:hAnsi="宋体" w:cs="宋体"/>
          <w:sz w:val="28"/>
          <w:szCs w:val="28"/>
          <w:lang w:val="en-US" w:eastAsia="zh-CN"/>
        </w:rPr>
        <w:t xml:space="preserve">    ③2022年1月24日，云溪区长炼片区绿化管养项目通过竞争性磋商采购方式，最后中标单位是岳阳市山水物业有限公司，中标金额82.83万元，实付金额82.83万元</w:t>
      </w:r>
    </w:p>
    <w:p>
      <w:pPr>
        <w:pStyle w:val="24"/>
        <w:ind w:left="0" w:leftChars="0" w:firstLine="560" w:firstLineChars="200"/>
        <w:rPr>
          <w:rFonts w:hint="default"/>
          <w:lang w:val="en-US" w:eastAsia="zh-CN"/>
        </w:rPr>
      </w:pPr>
      <w:r>
        <w:rPr>
          <w:rFonts w:hint="eastAsia" w:ascii="宋体" w:hAnsi="宋体" w:cs="宋体"/>
          <w:sz w:val="28"/>
          <w:szCs w:val="28"/>
          <w:lang w:val="en-US" w:eastAsia="zh-CN"/>
        </w:rPr>
        <w:t>④2022年1月26日，云溪区长炼片区清扫保洁、洒水、垃圾收转运项目通过竞争性磋商采购方式，最后中标单位是岳阳市山水物业有限公司，中标金额175.17万元，实付金额175.17万元。</w:t>
      </w:r>
    </w:p>
    <w:p>
      <w:pPr>
        <w:ind w:firstLine="560" w:firstLineChars="200"/>
        <w:rPr>
          <w:rFonts w:hint="default"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2）外包片区环卫保洁情况。云溪区环卫绿化服务所严格要求承包公司做好片区环卫作业服务及常态化管理，在外包片区实行定路段、定人员、定职责管理方式，要求承包公司对片区市政道路、公园广场、背街小巷、市政厕所进行全天候清扫保洁。在工作中，严格督促承包公司建立环卫工人清扫作业规范，对于存在的问题及时纠正，立行立改，确保片区清扫保洁力度持续加大。2022年共出动车辆5059台次，投入环卫工人35250人次，每日清洗人行道1次，共清洗467次。对片区垃圾进行清扫、清运。全年共清运垃圾8.557万吨，无害化处理率达100%。</w:t>
      </w:r>
    </w:p>
    <w:p>
      <w:pPr>
        <w:ind w:firstLine="560" w:firstLineChars="200"/>
        <w:rPr>
          <w:rFonts w:hint="default"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3）外包片区绿化管养情况。严格督促承包公司做好片区绿化日常化管养工作，确保每天安排人员对绿化带内杂草和白色垃圾进行清理，定期开展对管理范围内绿化洒水、降温，全年完成了2次责任范围区内行道树剪枝和1次病虫害防治工作。</w:t>
      </w:r>
    </w:p>
    <w:p>
      <w:pPr>
        <w:ind w:firstLine="560" w:firstLineChars="200"/>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4）加大片区环卫绿化巡查情况。云溪区环卫绿化服务所采取整改问题派单式和定期不定期巡查管理的方式，要求承包公司完善生活垃圾消杀、除臭、清运制度和绿化管养制度，加大片区垃圾清运力度，保障日产日清、规范处置，设施设备干净，加强片区绿化日常管养，确保出动巡查人员520人次，向承包公司发出整改问题派单1份。口头警告、提醒督促整改问题210起。</w:t>
      </w:r>
    </w:p>
    <w:p>
      <w:pPr>
        <w:ind w:firstLine="562" w:firstLineChars="200"/>
        <w:jc w:val="left"/>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lang w:val="en-US" w:eastAsia="zh-CN"/>
        </w:rPr>
        <w:t>2、</w:t>
      </w:r>
      <w:r>
        <w:rPr>
          <w:rFonts w:hint="eastAsia" w:asciiTheme="minorEastAsia" w:hAnsiTheme="minorEastAsia" w:eastAsiaTheme="minorEastAsia" w:cstheme="minorEastAsia"/>
          <w:b/>
          <w:kern w:val="0"/>
          <w:sz w:val="28"/>
          <w:szCs w:val="28"/>
        </w:rPr>
        <w:t>产出质量情况分析</w:t>
      </w:r>
    </w:p>
    <w:p>
      <w:pPr>
        <w:ind w:firstLine="560" w:firstLineChars="200"/>
        <w:jc w:val="left"/>
        <w:rPr>
          <w:rFonts w:hint="eastAsia" w:asciiTheme="minorEastAsia" w:hAnsiTheme="minorEastAsia" w:eastAsiaTheme="minorEastAsia" w:cstheme="minorEastAsia"/>
          <w:i w:val="0"/>
          <w:color w:val="auto"/>
          <w:kern w:val="0"/>
          <w:sz w:val="28"/>
          <w:szCs w:val="28"/>
          <w:lang w:val="en-US" w:eastAsia="zh-CN" w:bidi="ar"/>
        </w:rPr>
      </w:pPr>
      <w:r>
        <w:rPr>
          <w:rFonts w:hint="eastAsia" w:asciiTheme="minorEastAsia" w:hAnsiTheme="minorEastAsia" w:eastAsiaTheme="minorEastAsia" w:cstheme="minorEastAsia"/>
          <w:i w:val="0"/>
          <w:color w:val="auto"/>
          <w:kern w:val="0"/>
          <w:sz w:val="28"/>
          <w:szCs w:val="28"/>
          <w:lang w:val="en-US" w:eastAsia="zh-CN" w:bidi="ar"/>
        </w:rPr>
        <w:t>（1）项目运行质量：</w:t>
      </w:r>
      <w:r>
        <w:rPr>
          <w:rFonts w:hint="eastAsia" w:asciiTheme="minorEastAsia" w:hAnsiTheme="minorEastAsia" w:eastAsiaTheme="minorEastAsia" w:cstheme="minorEastAsia"/>
          <w:kern w:val="2"/>
          <w:sz w:val="28"/>
          <w:szCs w:val="28"/>
          <w:lang w:val="en-US" w:eastAsia="zh-CN" w:bidi="ar-SA"/>
        </w:rPr>
        <w:t>良好</w:t>
      </w:r>
      <w:r>
        <w:rPr>
          <w:rFonts w:hint="eastAsia" w:asciiTheme="minorEastAsia" w:hAnsiTheme="minorEastAsia" w:eastAsiaTheme="minorEastAsia" w:cstheme="minorEastAsia"/>
          <w:i w:val="0"/>
          <w:color w:val="auto"/>
          <w:kern w:val="0"/>
          <w:sz w:val="28"/>
          <w:szCs w:val="28"/>
          <w:lang w:val="en-US" w:eastAsia="zh-CN" w:bidi="ar"/>
        </w:rPr>
        <w:t>。</w:t>
      </w:r>
    </w:p>
    <w:p>
      <w:pPr>
        <w:ind w:firstLine="560" w:firstLineChars="200"/>
        <w:jc w:val="left"/>
        <w:rPr>
          <w:rFonts w:hint="eastAsia" w:asciiTheme="minorEastAsia" w:hAnsiTheme="minorEastAsia" w:eastAsiaTheme="minorEastAsia" w:cstheme="minorEastAsia"/>
          <w:i w:val="0"/>
          <w:color w:val="auto"/>
          <w:kern w:val="0"/>
          <w:sz w:val="28"/>
          <w:szCs w:val="28"/>
          <w:highlight w:val="yellow"/>
          <w:lang w:val="en-US" w:eastAsia="zh-CN" w:bidi="ar"/>
        </w:rPr>
      </w:pPr>
      <w:r>
        <w:rPr>
          <w:rFonts w:hint="eastAsia" w:asciiTheme="minorEastAsia" w:hAnsiTheme="minorEastAsia" w:eastAsiaTheme="minorEastAsia" w:cstheme="minorEastAsia"/>
          <w:i w:val="0"/>
          <w:color w:val="auto"/>
          <w:kern w:val="0"/>
          <w:sz w:val="28"/>
          <w:szCs w:val="28"/>
          <w:lang w:val="en-US" w:eastAsia="zh-CN" w:bidi="ar"/>
        </w:rPr>
        <w:t>（2）服务质量：通过问卷调查</w:t>
      </w:r>
      <w:r>
        <w:rPr>
          <w:rFonts w:hint="eastAsia" w:asciiTheme="minorEastAsia" w:hAnsiTheme="minorEastAsia" w:eastAsiaTheme="minorEastAsia" w:cstheme="minorEastAsia"/>
          <w:i w:val="0"/>
          <w:color w:val="auto"/>
          <w:kern w:val="0"/>
          <w:sz w:val="28"/>
          <w:szCs w:val="28"/>
          <w:highlight w:val="none"/>
          <w:lang w:val="en-US" w:eastAsia="zh-CN" w:bidi="ar"/>
        </w:rPr>
        <w:t>，环卫绿化服务所为项目提供的服务质量、服务态度、办事效率情况满意度高。</w:t>
      </w:r>
    </w:p>
    <w:p>
      <w:pPr>
        <w:ind w:firstLine="560" w:firstLineChars="200"/>
        <w:jc w:val="left"/>
        <w:rPr>
          <w:rFonts w:hint="eastAsia" w:asciiTheme="minorEastAsia" w:hAnsiTheme="minorEastAsia" w:eastAsiaTheme="minorEastAsia" w:cstheme="minorEastAsia"/>
          <w:i w:val="0"/>
          <w:color w:val="auto"/>
          <w:kern w:val="0"/>
          <w:sz w:val="28"/>
          <w:szCs w:val="28"/>
          <w:lang w:val="en-US" w:eastAsia="zh-CN" w:bidi="ar"/>
        </w:rPr>
      </w:pPr>
      <w:r>
        <w:rPr>
          <w:rFonts w:hint="eastAsia" w:asciiTheme="minorEastAsia" w:hAnsiTheme="minorEastAsia" w:eastAsiaTheme="minorEastAsia" w:cstheme="minorEastAsia"/>
          <w:i w:val="0"/>
          <w:color w:val="auto"/>
          <w:kern w:val="0"/>
          <w:sz w:val="28"/>
          <w:szCs w:val="28"/>
          <w:lang w:val="en-US" w:eastAsia="zh-CN" w:bidi="ar"/>
        </w:rPr>
        <w:t>（3</w:t>
      </w:r>
      <w:r>
        <w:rPr>
          <w:rFonts w:hint="eastAsia" w:asciiTheme="minorEastAsia" w:hAnsiTheme="minorEastAsia" w:eastAsiaTheme="minorEastAsia" w:cstheme="minorEastAsia"/>
          <w:i w:val="0"/>
          <w:color w:val="auto"/>
          <w:kern w:val="0"/>
          <w:sz w:val="28"/>
          <w:szCs w:val="28"/>
          <w:highlight w:val="none"/>
          <w:lang w:val="en-US" w:eastAsia="zh-CN" w:bidi="ar"/>
        </w:rPr>
        <w:t>）通过问卷调查、查询相关通报及公开网络，未发现有举报环卫绿化服务所工作人员在项目运行中发生违规违纪等廉政方面问题。</w:t>
      </w:r>
    </w:p>
    <w:p>
      <w:pPr>
        <w:ind w:firstLine="562" w:firstLineChars="200"/>
        <w:jc w:val="left"/>
        <w:rPr>
          <w:rFonts w:hint="eastAsia" w:asciiTheme="minorEastAsia" w:hAnsiTheme="minorEastAsia" w:eastAsiaTheme="minorEastAsia" w:cstheme="minorEastAsia"/>
          <w:i w:val="0"/>
          <w:color w:val="auto"/>
          <w:kern w:val="0"/>
          <w:sz w:val="28"/>
          <w:szCs w:val="28"/>
          <w:highlight w:val="yellow"/>
          <w:lang w:val="en-US" w:eastAsia="zh-CN" w:bidi="ar"/>
        </w:rPr>
      </w:pPr>
      <w:r>
        <w:rPr>
          <w:rFonts w:hint="eastAsia" w:asciiTheme="minorEastAsia" w:hAnsiTheme="minorEastAsia" w:eastAsiaTheme="minorEastAsia" w:cstheme="minorEastAsia"/>
          <w:b/>
          <w:bCs/>
          <w:i w:val="0"/>
          <w:color w:val="333333"/>
          <w:kern w:val="0"/>
          <w:sz w:val="28"/>
          <w:szCs w:val="28"/>
          <w:lang w:val="en-US" w:eastAsia="zh-CN" w:bidi="ar"/>
        </w:rPr>
        <w:t>3、</w:t>
      </w:r>
      <w:r>
        <w:rPr>
          <w:rFonts w:hint="eastAsia" w:asciiTheme="minorEastAsia" w:hAnsiTheme="minorEastAsia" w:eastAsiaTheme="minorEastAsia" w:cstheme="minorEastAsia"/>
          <w:b/>
          <w:bCs/>
          <w:i w:val="0"/>
          <w:color w:val="auto"/>
          <w:kern w:val="0"/>
          <w:sz w:val="28"/>
          <w:szCs w:val="28"/>
          <w:lang w:val="en-US" w:eastAsia="zh-CN" w:bidi="ar"/>
        </w:rPr>
        <w:t>产出</w:t>
      </w:r>
      <w:r>
        <w:rPr>
          <w:rFonts w:hint="eastAsia" w:asciiTheme="minorEastAsia" w:hAnsiTheme="minorEastAsia" w:eastAsiaTheme="minorEastAsia" w:cstheme="minorEastAsia"/>
          <w:b/>
          <w:bCs/>
          <w:i w:val="0"/>
          <w:color w:val="auto"/>
          <w:kern w:val="0"/>
          <w:sz w:val="28"/>
          <w:szCs w:val="28"/>
          <w:highlight w:val="none"/>
          <w:lang w:val="en-US" w:eastAsia="zh-CN" w:bidi="ar"/>
        </w:rPr>
        <w:t>时效</w:t>
      </w:r>
      <w:r>
        <w:rPr>
          <w:rFonts w:hint="eastAsia" w:asciiTheme="minorEastAsia" w:hAnsiTheme="minorEastAsia" w:eastAsiaTheme="minorEastAsia" w:cstheme="minorEastAsia"/>
          <w:b/>
          <w:bCs/>
          <w:i w:val="0"/>
          <w:color w:val="333333"/>
          <w:kern w:val="0"/>
          <w:sz w:val="28"/>
          <w:szCs w:val="28"/>
          <w:highlight w:val="none"/>
          <w:lang w:val="en-US" w:eastAsia="zh-CN" w:bidi="ar"/>
        </w:rPr>
        <w:t>：</w:t>
      </w:r>
      <w:r>
        <w:rPr>
          <w:rFonts w:hint="eastAsia" w:asciiTheme="minorEastAsia" w:hAnsiTheme="minorEastAsia" w:eastAsiaTheme="minorEastAsia" w:cstheme="minorEastAsia"/>
          <w:i w:val="0"/>
          <w:color w:val="auto"/>
          <w:kern w:val="0"/>
          <w:sz w:val="28"/>
          <w:szCs w:val="28"/>
          <w:highlight w:val="none"/>
          <w:lang w:val="en-US" w:eastAsia="zh-CN" w:bidi="ar"/>
        </w:rPr>
        <w:t>绩效项目按计划时间实施、完成。</w:t>
      </w:r>
    </w:p>
    <w:p>
      <w:pPr>
        <w:ind w:firstLine="562" w:firstLineChars="200"/>
        <w:jc w:val="left"/>
        <w:rPr>
          <w:rFonts w:hint="eastAsia" w:asciiTheme="minorEastAsia" w:hAnsiTheme="minorEastAsia" w:eastAsiaTheme="minorEastAsia" w:cstheme="minorEastAsia"/>
          <w:i w:val="0"/>
          <w:color w:val="auto"/>
          <w:kern w:val="0"/>
          <w:sz w:val="28"/>
          <w:szCs w:val="28"/>
          <w:highlight w:val="yellow"/>
          <w:lang w:val="en-US" w:eastAsia="zh-CN" w:bidi="ar"/>
        </w:rPr>
      </w:pPr>
      <w:r>
        <w:rPr>
          <w:rFonts w:hint="eastAsia" w:asciiTheme="minorEastAsia" w:hAnsiTheme="minorEastAsia" w:eastAsiaTheme="minorEastAsia" w:cstheme="minorEastAsia"/>
          <w:b/>
          <w:bCs/>
          <w:i w:val="0"/>
          <w:color w:val="auto"/>
          <w:kern w:val="0"/>
          <w:sz w:val="28"/>
          <w:szCs w:val="28"/>
          <w:lang w:val="en-US" w:eastAsia="zh-CN" w:bidi="ar"/>
        </w:rPr>
        <w:t>4、成本控制</w:t>
      </w:r>
      <w:r>
        <w:rPr>
          <w:rFonts w:hint="eastAsia" w:asciiTheme="minorEastAsia" w:hAnsiTheme="minorEastAsia" w:eastAsiaTheme="minorEastAsia" w:cstheme="minorEastAsia"/>
          <w:i w:val="0"/>
          <w:color w:val="auto"/>
          <w:kern w:val="0"/>
          <w:sz w:val="28"/>
          <w:szCs w:val="28"/>
          <w:lang w:val="en-US" w:eastAsia="zh-CN" w:bidi="ar"/>
        </w:rPr>
        <w:t>：</w:t>
      </w:r>
      <w:r>
        <w:rPr>
          <w:rFonts w:hint="eastAsia" w:asciiTheme="minorEastAsia" w:hAnsiTheme="minorEastAsia" w:eastAsiaTheme="minorEastAsia" w:cstheme="minorEastAsia"/>
          <w:i w:val="0"/>
          <w:color w:val="auto"/>
          <w:kern w:val="0"/>
          <w:sz w:val="28"/>
          <w:szCs w:val="28"/>
          <w:highlight w:val="none"/>
          <w:lang w:val="en-US" w:eastAsia="zh-CN" w:bidi="ar"/>
        </w:rPr>
        <w:t>本项目预算成本为613万元，实际使用</w:t>
      </w:r>
      <w:r>
        <w:rPr>
          <w:rFonts w:hint="eastAsia" w:asciiTheme="minorEastAsia" w:hAnsiTheme="minorEastAsia" w:eastAsiaTheme="minorEastAsia" w:cstheme="minorEastAsia"/>
          <w:bCs/>
          <w:kern w:val="2"/>
          <w:sz w:val="28"/>
          <w:szCs w:val="28"/>
          <w:highlight w:val="none"/>
          <w:lang w:val="en-US" w:eastAsia="zh-CN" w:bidi="ar-SA"/>
        </w:rPr>
        <w:t>722.16</w:t>
      </w:r>
      <w:r>
        <w:rPr>
          <w:rFonts w:hint="eastAsia" w:asciiTheme="minorEastAsia" w:hAnsiTheme="minorEastAsia" w:eastAsiaTheme="minorEastAsia" w:cstheme="minorEastAsia"/>
          <w:i w:val="0"/>
          <w:color w:val="auto"/>
          <w:kern w:val="0"/>
          <w:sz w:val="28"/>
          <w:szCs w:val="28"/>
          <w:highlight w:val="none"/>
          <w:lang w:val="en-US" w:eastAsia="zh-CN" w:bidi="ar"/>
        </w:rPr>
        <w:t>万元，超预算成本金额109.16万元，超预算比例17.81%。</w:t>
      </w:r>
    </w:p>
    <w:p>
      <w:pPr>
        <w:numPr>
          <w:ilvl w:val="0"/>
          <w:numId w:val="0"/>
        </w:numPr>
        <w:ind w:firstLine="562"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sz w:val="28"/>
          <w:szCs w:val="28"/>
          <w:lang w:val="en-US" w:eastAsia="zh-CN"/>
        </w:rPr>
        <w:t>5、</w:t>
      </w:r>
      <w:r>
        <w:rPr>
          <w:rFonts w:hint="eastAsia" w:asciiTheme="minorEastAsia" w:hAnsiTheme="minorEastAsia" w:eastAsiaTheme="minorEastAsia" w:cstheme="minorEastAsia"/>
          <w:b/>
          <w:bCs/>
          <w:sz w:val="28"/>
          <w:szCs w:val="28"/>
        </w:rPr>
        <w:t>项目公开、公正性。</w:t>
      </w:r>
      <w:r>
        <w:rPr>
          <w:rFonts w:hint="eastAsia" w:asciiTheme="minorEastAsia" w:hAnsiTheme="minorEastAsia" w:eastAsiaTheme="minorEastAsia" w:cstheme="minorEastAsia"/>
          <w:color w:val="000000"/>
          <w:sz w:val="28"/>
          <w:szCs w:val="28"/>
        </w:rPr>
        <w:t>规范审批程序，公示审批流程，确保了项目</w:t>
      </w:r>
      <w:r>
        <w:rPr>
          <w:rFonts w:hint="eastAsia" w:asciiTheme="minorEastAsia" w:hAnsiTheme="minorEastAsia" w:eastAsiaTheme="minorEastAsia" w:cstheme="minorEastAsia"/>
          <w:color w:val="000000"/>
          <w:sz w:val="28"/>
          <w:szCs w:val="28"/>
          <w:lang w:val="en-US" w:eastAsia="zh-CN"/>
        </w:rPr>
        <w:t>资金发放</w:t>
      </w:r>
      <w:r>
        <w:rPr>
          <w:rFonts w:hint="eastAsia" w:asciiTheme="minorEastAsia" w:hAnsiTheme="minorEastAsia" w:eastAsiaTheme="minorEastAsia" w:cstheme="minorEastAsia"/>
          <w:color w:val="000000"/>
          <w:sz w:val="28"/>
          <w:szCs w:val="28"/>
        </w:rPr>
        <w:t>的快速、高效、公开、透明。</w:t>
      </w:r>
    </w:p>
    <w:p>
      <w:pPr>
        <w:numPr>
          <w:ilvl w:val="0"/>
          <w:numId w:val="0"/>
        </w:numPr>
        <w:ind w:firstLine="562" w:firstLineChars="200"/>
        <w:jc w:val="left"/>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lang w:val="en-US" w:eastAsia="zh-CN"/>
        </w:rPr>
        <w:t>6、</w:t>
      </w:r>
      <w:r>
        <w:rPr>
          <w:rFonts w:hint="eastAsia" w:asciiTheme="minorEastAsia" w:hAnsiTheme="minorEastAsia" w:eastAsiaTheme="minorEastAsia" w:cstheme="minorEastAsia"/>
          <w:b/>
          <w:bCs/>
          <w:kern w:val="0"/>
          <w:sz w:val="28"/>
          <w:szCs w:val="28"/>
        </w:rPr>
        <w:t>项目完成后效果</w:t>
      </w:r>
    </w:p>
    <w:p>
      <w:pPr>
        <w:numPr>
          <w:ilvl w:val="0"/>
          <w:numId w:val="0"/>
        </w:numPr>
        <w:ind w:firstLine="560" w:firstLineChars="200"/>
        <w:jc w:val="left"/>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kern w:val="2"/>
          <w:sz w:val="28"/>
          <w:szCs w:val="28"/>
          <w:lang w:val="en-US" w:eastAsia="zh-CN" w:bidi="ar-SA"/>
        </w:rPr>
        <w:t>两厂环卫绿化保洁及管理费专用资金发挥了维护好两厂环卫绿化保洁的任务，环卫绿化作业委托服务项目作为一项常态环境综合治理工作，为辖区内居民生活提供清洁舒适的居住环境，改善了空气质量，提升了城市品位，居民整体满意度较高，项目的功能实现程度及社会效益明显。</w:t>
      </w:r>
    </w:p>
    <w:p>
      <w:pPr>
        <w:numPr>
          <w:ilvl w:val="0"/>
          <w:numId w:val="4"/>
        </w:numPr>
        <w:ind w:firstLine="562" w:firstLineChars="20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项目绩效评价结论</w:t>
      </w:r>
    </w:p>
    <w:p>
      <w:pPr>
        <w:numPr>
          <w:ilvl w:val="0"/>
          <w:numId w:val="0"/>
        </w:numPr>
        <w:ind w:firstLine="560" w:firstLineChars="200"/>
        <w:rPr>
          <w:rFonts w:hint="eastAsia" w:asciiTheme="minorEastAsia" w:hAnsiTheme="minorEastAsia" w:eastAsiaTheme="minorEastAsia" w:cstheme="minorEastAsia"/>
          <w:b w:val="0"/>
          <w:bCs w:val="0"/>
          <w:color w:val="000000"/>
          <w:kern w:val="2"/>
          <w:sz w:val="28"/>
          <w:szCs w:val="28"/>
          <w:highlight w:val="none"/>
          <w:lang w:val="en-US" w:eastAsia="zh-CN" w:bidi="ar-SA"/>
        </w:rPr>
      </w:pPr>
      <w:r>
        <w:rPr>
          <w:rFonts w:hint="default" w:asciiTheme="minorEastAsia" w:hAnsiTheme="minorEastAsia" w:eastAsiaTheme="minorEastAsia" w:cstheme="minorEastAsia"/>
          <w:b w:val="0"/>
          <w:bCs w:val="0"/>
          <w:color w:val="000000"/>
          <w:kern w:val="2"/>
          <w:sz w:val="28"/>
          <w:szCs w:val="28"/>
          <w:highlight w:val="none"/>
          <w:lang w:val="en-US" w:eastAsia="zh-CN" w:bidi="ar-SA"/>
        </w:rPr>
        <w:t>通过精心组织、科学管理，</w:t>
      </w:r>
      <w:r>
        <w:rPr>
          <w:rFonts w:hint="eastAsia" w:asciiTheme="minorEastAsia" w:hAnsiTheme="minorEastAsia" w:eastAsiaTheme="minorEastAsia" w:cstheme="minorEastAsia"/>
          <w:b w:val="0"/>
          <w:bCs w:val="0"/>
          <w:color w:val="000000"/>
          <w:kern w:val="2"/>
          <w:sz w:val="28"/>
          <w:szCs w:val="28"/>
          <w:highlight w:val="none"/>
          <w:lang w:val="en-US" w:eastAsia="zh-CN" w:bidi="ar-SA"/>
        </w:rPr>
        <w:t>认真考核，项目绩效指标完成的较好，达到了预期效果，但由于多种原因的影响，存在项目未按照要求进行绩效申报、超范围使用专项资金等现象。通过对项目进行绩效评价，得分90分，项目完成任务“优”。其中：</w:t>
      </w:r>
    </w:p>
    <w:p>
      <w:pPr>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目标决策总分20分，该项目得分14分，扣6分。</w:t>
      </w:r>
    </w:p>
    <w:p>
      <w:pPr>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项目管理总分25分，该项目得分22分，扣3分。</w:t>
      </w:r>
    </w:p>
    <w:p>
      <w:pPr>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项目绩效总分55分，该项目得分54分，扣1分。</w:t>
      </w:r>
    </w:p>
    <w:p>
      <w:pPr>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具体见《云溪区2022年度两厂片区环卫绿化外包及管理费绩效评分表》（附件2）。</w:t>
      </w:r>
    </w:p>
    <w:p>
      <w:pPr>
        <w:ind w:firstLine="562" w:firstLineChars="200"/>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三、存在问题及原因分析</w:t>
      </w:r>
    </w:p>
    <w:p>
      <w:pPr>
        <w:ind w:firstLine="562" w:firstLineChars="200"/>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（一）项目决策方面</w:t>
      </w:r>
    </w:p>
    <w:p>
      <w:pPr>
        <w:ind w:firstLine="562" w:firstLineChars="200"/>
        <w:rPr>
          <w:rFonts w:ascii="宋体" w:hAnsi="宋体" w:cs="宋体"/>
          <w:b/>
          <w:bCs/>
          <w:sz w:val="28"/>
          <w:szCs w:val="28"/>
        </w:rPr>
      </w:pPr>
      <w:r>
        <w:rPr>
          <w:rFonts w:hint="eastAsia" w:ascii="宋体" w:hAnsi="宋体" w:cs="宋体"/>
          <w:b/>
          <w:bCs/>
          <w:sz w:val="28"/>
          <w:szCs w:val="28"/>
        </w:rPr>
        <w:t>1、未进行绩效目标申报，影响项目的整体绩效评价</w:t>
      </w:r>
    </w:p>
    <w:p>
      <w:pPr>
        <w:ind w:firstLine="560" w:firstLineChars="200"/>
        <w:rPr>
          <w:rFonts w:ascii="宋体" w:hAnsi="宋体" w:cs="宋体"/>
          <w:sz w:val="28"/>
          <w:szCs w:val="28"/>
        </w:rPr>
      </w:pPr>
      <w:r>
        <w:rPr>
          <w:rFonts w:hint="eastAsia" w:ascii="宋体" w:hAnsi="宋体" w:cs="宋体"/>
          <w:sz w:val="28"/>
          <w:szCs w:val="28"/>
        </w:rPr>
        <w:t>项目单位未提供绩效目标申报表及项目产出完成情况相关资料，导致该项目的绩效目标及绩效目标完成情况不明确，评价组只能以自评报告等辅助材料作为项目绩效目标完成情况的替代，影响项目的整体评价质量。</w:t>
      </w:r>
    </w:p>
    <w:p>
      <w:pPr>
        <w:pStyle w:val="34"/>
        <w:ind w:firstLine="600"/>
        <w:rPr>
          <w:rFonts w:hint="eastAsia" w:ascii="宋体" w:hAnsi="宋体" w:cs="宋体"/>
          <w:kern w:val="44"/>
          <w:sz w:val="28"/>
          <w:szCs w:val="28"/>
        </w:rPr>
      </w:pPr>
      <w:r>
        <w:rPr>
          <w:rFonts w:hint="eastAsia" w:ascii="宋体" w:hAnsi="宋体" w:cs="宋体"/>
          <w:kern w:val="44"/>
          <w:sz w:val="28"/>
          <w:szCs w:val="28"/>
        </w:rPr>
        <w:t>评价人员认为：项目单位应按照财政部门、主管部门的要求，应及时提供财政支出绩效目标申报表及项目实际产出的有关资料。</w:t>
      </w:r>
    </w:p>
    <w:p>
      <w:pPr>
        <w:pStyle w:val="34"/>
        <w:ind w:firstLine="562" w:firstLineChars="200"/>
        <w:rPr>
          <w:rFonts w:hint="default"/>
          <w:b/>
          <w:bCs/>
          <w:lang w:val="en-US" w:eastAsia="zh-CN"/>
        </w:rPr>
      </w:pPr>
      <w:r>
        <w:rPr>
          <w:rFonts w:hint="eastAsia" w:ascii="宋体" w:hAnsi="宋体" w:eastAsia="宋体" w:cs="宋体"/>
          <w:b/>
          <w:bCs/>
          <w:kern w:val="44"/>
          <w:sz w:val="28"/>
          <w:szCs w:val="28"/>
          <w:lang w:val="en-US" w:eastAsia="zh-CN" w:bidi="ar-SA"/>
        </w:rPr>
        <w:t>2、未对两厂片区承包公司进行年度绩效考核</w:t>
      </w:r>
    </w:p>
    <w:p>
      <w:pPr>
        <w:pStyle w:val="34"/>
        <w:ind w:firstLine="560" w:firstLineChars="200"/>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环卫绿化服务所对两厂片区环卫绿化承包公司服务的范围每天进行了巡查，但是未</w:t>
      </w:r>
      <w:r>
        <w:rPr>
          <w:rFonts w:hint="eastAsia" w:asciiTheme="minorEastAsia" w:hAnsiTheme="minorEastAsia" w:eastAsiaTheme="minorEastAsia" w:cstheme="minorEastAsia"/>
          <w:b w:val="0"/>
          <w:bCs w:val="0"/>
          <w:kern w:val="2"/>
          <w:sz w:val="28"/>
          <w:szCs w:val="28"/>
          <w:lang w:val="en-US" w:eastAsia="zh-CN" w:bidi="ar-SA"/>
        </w:rPr>
        <w:t>对岳阳市志利保洁有限公司与岳阳市山水物业有限公司两家承包公司进行年度或者季度绩效考核评分。</w:t>
      </w:r>
    </w:p>
    <w:p>
      <w:pPr>
        <w:pStyle w:val="34"/>
        <w:ind w:firstLine="560" w:firstLineChars="200"/>
        <w:rPr>
          <w:rFonts w:hint="eastAsia" w:asciiTheme="minorEastAsia" w:hAnsiTheme="minorEastAsia" w:eastAsiaTheme="minorEastAsia" w:cstheme="minorEastAsia"/>
          <w:color w:val="auto"/>
          <w:kern w:val="0"/>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评价小组认为：两厂片区环卫绿化外包及管理费专项资金使用重点在于两厂片区外包绿化服务，</w:t>
      </w:r>
      <w:r>
        <w:rPr>
          <w:rFonts w:hint="eastAsia" w:asciiTheme="minorEastAsia" w:hAnsiTheme="minorEastAsia" w:eastAsiaTheme="minorEastAsia" w:cstheme="minorEastAsia"/>
          <w:color w:val="auto"/>
          <w:kern w:val="0"/>
          <w:sz w:val="28"/>
          <w:szCs w:val="28"/>
          <w:lang w:val="en-US" w:eastAsia="zh-CN" w:bidi="ar-SA"/>
        </w:rPr>
        <w:t>环卫绿化服务所虽然做到了每日巡查监督，当场整改，但环卫所应完善考核机制，对两厂片区的承包公司进行季度以及年度考核评分，并根据考核结果进行付费。</w:t>
      </w:r>
    </w:p>
    <w:p>
      <w:pPr>
        <w:numPr>
          <w:ilvl w:val="0"/>
          <w:numId w:val="5"/>
        </w:numPr>
        <w:ind w:left="560" w:leftChars="0" w:firstLine="0" w:firstLineChars="0"/>
        <w:rPr>
          <w:rFonts w:hint="eastAsia" w:asciiTheme="minorEastAsia" w:hAnsiTheme="minorEastAsia" w:eastAsiaTheme="minorEastAsia" w:cstheme="minorEastAsia"/>
          <w:b/>
          <w:bCs w:val="0"/>
          <w:i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b/>
          <w:bCs w:val="0"/>
          <w:i w:val="0"/>
          <w:caps w:val="0"/>
          <w:color w:val="auto"/>
          <w:spacing w:val="0"/>
          <w:sz w:val="28"/>
          <w:szCs w:val="28"/>
          <w:shd w:val="clear" w:color="auto" w:fill="FFFFFF"/>
          <w:lang w:val="en-US" w:eastAsia="zh-CN"/>
        </w:rPr>
        <w:t>项目支出与财务管理方面</w:t>
      </w:r>
    </w:p>
    <w:p>
      <w:pPr>
        <w:numPr>
          <w:ilvl w:val="0"/>
          <w:numId w:val="6"/>
        </w:numPr>
        <w:ind w:left="560" w:leftChars="0"/>
        <w:rPr>
          <w:rFonts w:hint="eastAsia" w:asciiTheme="minorEastAsia" w:hAnsiTheme="minorEastAsia" w:eastAsiaTheme="minorEastAsia" w:cstheme="minorEastAsia"/>
          <w:b/>
          <w:bCs/>
          <w:color w:val="000000" w:themeColor="text1"/>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8"/>
          <w:szCs w:val="28"/>
          <w:highlight w:val="none"/>
          <w:lang w:val="en-US" w:eastAsia="zh-CN" w:bidi="ar-SA"/>
          <w14:textFill>
            <w14:solidFill>
              <w14:schemeClr w14:val="tx1"/>
            </w14:solidFill>
          </w14:textFill>
        </w:rPr>
        <w:t>项目成本控制不严，导致项目超预算金额较大</w:t>
      </w:r>
    </w:p>
    <w:p>
      <w:pPr>
        <w:numPr>
          <w:ilvl w:val="0"/>
          <w:numId w:val="0"/>
        </w:numPr>
        <w:ind w:firstLine="560" w:firstLineChars="200"/>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2022年两厂片区环卫绿化外包及管理费专项资金预算申报613万元，项目</w:t>
      </w:r>
      <w:r>
        <w:rPr>
          <w:rFonts w:hint="eastAsia" w:asciiTheme="minorEastAsia" w:hAnsiTheme="minorEastAsia" w:eastAsiaTheme="minorEastAsia" w:cstheme="minorEastAsia"/>
          <w:i w:val="0"/>
          <w:color w:val="auto"/>
          <w:kern w:val="0"/>
          <w:sz w:val="28"/>
          <w:szCs w:val="28"/>
          <w:highlight w:val="none"/>
          <w:lang w:val="en-US" w:eastAsia="zh-CN" w:bidi="ar"/>
        </w:rPr>
        <w:t>实际使用</w:t>
      </w:r>
      <w:r>
        <w:rPr>
          <w:rFonts w:hint="eastAsia" w:asciiTheme="minorEastAsia" w:hAnsiTheme="minorEastAsia" w:eastAsiaTheme="minorEastAsia" w:cstheme="minorEastAsia"/>
          <w:bCs/>
          <w:kern w:val="2"/>
          <w:sz w:val="28"/>
          <w:szCs w:val="28"/>
          <w:highlight w:val="none"/>
          <w:lang w:val="en-US" w:eastAsia="zh-CN" w:bidi="ar-SA"/>
        </w:rPr>
        <w:t>722.16</w:t>
      </w:r>
      <w:r>
        <w:rPr>
          <w:rFonts w:hint="eastAsia" w:asciiTheme="minorEastAsia" w:hAnsiTheme="minorEastAsia" w:eastAsiaTheme="minorEastAsia" w:cstheme="minorEastAsia"/>
          <w:i w:val="0"/>
          <w:color w:val="auto"/>
          <w:kern w:val="0"/>
          <w:sz w:val="28"/>
          <w:szCs w:val="28"/>
          <w:highlight w:val="none"/>
          <w:lang w:val="en-US" w:eastAsia="zh-CN" w:bidi="ar"/>
        </w:rPr>
        <w:t>万元，超预算成本金额109.16万元，超预算比例17.81%，</w:t>
      </w:r>
      <w:r>
        <w:rPr>
          <w:rFonts w:hint="eastAsia" w:asciiTheme="minorEastAsia" w:hAnsiTheme="minorEastAsia" w:eastAsiaTheme="minorEastAsia" w:cstheme="minorEastAsia"/>
          <w:b w:val="0"/>
          <w:bCs w:val="0"/>
          <w:kern w:val="2"/>
          <w:sz w:val="28"/>
          <w:szCs w:val="28"/>
          <w:lang w:val="en-US" w:eastAsia="zh-CN" w:bidi="ar-SA"/>
        </w:rPr>
        <w:t>主要原因是年初的项目立项和项目申报不精准，导致项目成本超过预算。</w:t>
      </w:r>
    </w:p>
    <w:p>
      <w:pPr>
        <w:numPr>
          <w:ilvl w:val="0"/>
          <w:numId w:val="0"/>
        </w:numPr>
        <w:ind w:firstLine="560" w:firstLineChars="200"/>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评价人员认为：项目单位应严格按照财政绩效管理部门的要求，将项目预算进一步细化和量化，</w:t>
      </w:r>
      <w:r>
        <w:rPr>
          <w:rFonts w:hint="eastAsia" w:asciiTheme="minorEastAsia" w:hAnsiTheme="minorEastAsia" w:eastAsiaTheme="minorEastAsia" w:cstheme="minorEastAsia"/>
          <w:b w:val="0"/>
          <w:bCs w:val="0"/>
          <w:color w:val="auto"/>
          <w:kern w:val="2"/>
          <w:sz w:val="28"/>
          <w:szCs w:val="28"/>
          <w:lang w:val="en-US" w:eastAsia="zh-CN" w:bidi="ar-SA"/>
        </w:rPr>
        <w:t>力求将项目进行精细化预算</w:t>
      </w:r>
      <w:r>
        <w:rPr>
          <w:rFonts w:hint="eastAsia" w:asciiTheme="minorEastAsia" w:hAnsiTheme="minorEastAsia" w:eastAsiaTheme="minorEastAsia" w:cstheme="minorEastAsia"/>
          <w:b w:val="0"/>
          <w:bCs w:val="0"/>
          <w:kern w:val="2"/>
          <w:sz w:val="28"/>
          <w:szCs w:val="28"/>
          <w:lang w:val="en-US" w:eastAsia="zh-CN" w:bidi="ar-SA"/>
        </w:rPr>
        <w:t>。</w:t>
      </w:r>
    </w:p>
    <w:p>
      <w:pPr>
        <w:pStyle w:val="2"/>
        <w:ind w:firstLine="562" w:firstLineChars="200"/>
        <w:rPr>
          <w:rFonts w:hint="default"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2、</w:t>
      </w:r>
      <w:r>
        <w:rPr>
          <w:rFonts w:hint="eastAsia" w:asciiTheme="minorEastAsia" w:hAnsiTheme="minorEastAsia" w:eastAsiaTheme="minorEastAsia" w:cstheme="minorEastAsia"/>
          <w:b/>
          <w:bCs/>
          <w:kern w:val="2"/>
          <w:sz w:val="28"/>
          <w:szCs w:val="28"/>
          <w:lang w:val="en-US" w:eastAsia="zh-CN" w:bidi="ar-SA"/>
        </w:rPr>
        <w:t>项目资金未专款专用，超范围使用项目资金。</w:t>
      </w:r>
    </w:p>
    <w:p>
      <w:pPr>
        <w:pStyle w:val="24"/>
        <w:numPr>
          <w:ilvl w:val="0"/>
          <w:numId w:val="0"/>
        </w:numPr>
        <w:spacing w:line="360" w:lineRule="auto"/>
        <w:ind w:firstLine="560" w:firstLineChars="200"/>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（1）2022年11月25日13号凭证，付大汉片区垃圾清理租车及劳务费13800元，大汉区不属于</w:t>
      </w:r>
      <w:r>
        <w:rPr>
          <w:rFonts w:hint="eastAsia" w:asciiTheme="minorEastAsia" w:hAnsiTheme="minorEastAsia" w:eastAsiaTheme="minorEastAsia" w:cstheme="minorEastAsia"/>
          <w:b w:val="0"/>
          <w:bCs w:val="0"/>
          <w:color w:val="auto"/>
          <w:kern w:val="2"/>
          <w:sz w:val="28"/>
          <w:szCs w:val="28"/>
          <w:lang w:val="en-US" w:eastAsia="zh-CN" w:bidi="ar-SA"/>
        </w:rPr>
        <w:t>两厂</w:t>
      </w:r>
      <w:r>
        <w:rPr>
          <w:rFonts w:hint="eastAsia" w:asciiTheme="minorEastAsia" w:hAnsiTheme="minorEastAsia" w:eastAsiaTheme="minorEastAsia" w:cstheme="minorEastAsia"/>
          <w:b w:val="0"/>
          <w:bCs w:val="0"/>
          <w:kern w:val="2"/>
          <w:sz w:val="28"/>
          <w:szCs w:val="28"/>
          <w:lang w:val="en-US" w:eastAsia="zh-CN" w:bidi="ar-SA"/>
        </w:rPr>
        <w:t>片区范围内，不应用专项经费支出，项目支出超出使用范围，项目资金未专款专用。</w:t>
      </w:r>
    </w:p>
    <w:p>
      <w:pPr>
        <w:pStyle w:val="24"/>
        <w:numPr>
          <w:ilvl w:val="0"/>
          <w:numId w:val="0"/>
        </w:numPr>
        <w:ind w:firstLine="560" w:firstLineChars="200"/>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（2）2022年10月26日5号凭证，付聘用市政管理工作人员补助工资及补偿费用258,720元，虽然是代收代付资金，但不应用两厂专项经费支出，项目支出超出预算使用范围，项目资金未专款专用。</w:t>
      </w:r>
    </w:p>
    <w:p>
      <w:pPr>
        <w:pStyle w:val="21"/>
        <w:numPr>
          <w:ilvl w:val="0"/>
          <w:numId w:val="0"/>
        </w:numPr>
        <w:ind w:firstLine="560" w:firstLineChars="200"/>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3）与工作人员核实，8个服务项目共计15.01万元，不在两厂片区移交范围内，但是在专项资金中列支，两厂片区环卫绿化外包及管理费专项资金应用于两厂片区移交范围内项目，对于两厂片区移交范围外的工程不应在该专项里支出。</w:t>
      </w:r>
    </w:p>
    <w:tbl>
      <w:tblPr>
        <w:tblStyle w:val="25"/>
        <w:tblW w:w="863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91"/>
        <w:gridCol w:w="2748"/>
        <w:gridCol w:w="1230"/>
        <w:gridCol w:w="2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项目内容</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承包公司名称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实际金额</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长炼片区雪后清理树枝路障劳务费</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岳阳市山水物业有限公司</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12,900.00</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不属于移交范围之内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岳化片区雪后清理树枝路障劳务费</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岳阳市志利保洁有限公司</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24,700.00</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不属于移交范围之内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岳化医院洞口及胜利沟中转站坡道及下水道等改造</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岳阳市景森市政建设工程有限公司</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44,716.00</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不属于移交范围之内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死角垃圾清理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岳阳市志利保洁有限公司</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15,300.00</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不属于移交范围之内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长炼液化所站及老火车站清理及劳务费</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岳阳市山水物业有限公司</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23,000.00</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不属于移交范围之内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处理死危树劳务费</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岳阳市山水物业有限公司</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6,600.00</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不属于移交范围之内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迎省运会长岭周边卫生维修劳务费</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岳阳市山水物业有限公司</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16,800.00</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不属于移交范围之内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清理危树吊车及劳务费</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岳阳市山水物业有限公司</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6,100.00</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不属于移交范围之内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合计金额</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150,116.00</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numPr>
          <w:ilvl w:val="0"/>
          <w:numId w:val="0"/>
        </w:numPr>
        <w:ind w:leftChars="200"/>
        <w:rPr>
          <w:rFonts w:hint="eastAsia"/>
          <w:lang w:val="en-US" w:eastAsia="zh-CN"/>
        </w:rPr>
      </w:pPr>
    </w:p>
    <w:p>
      <w:pPr>
        <w:pStyle w:val="21"/>
        <w:numPr>
          <w:ilvl w:val="0"/>
          <w:numId w:val="0"/>
        </w:numPr>
        <w:ind w:firstLine="562" w:firstLineChars="200"/>
        <w:rPr>
          <w:rFonts w:hint="default"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3、专项经费中频繁出现合同未标明地段的情况</w:t>
      </w:r>
    </w:p>
    <w:p>
      <w:pPr>
        <w:numPr>
          <w:ilvl w:val="0"/>
          <w:numId w:val="0"/>
        </w:numPr>
        <w:ind w:firstLine="560" w:firstLineChars="200"/>
        <w:rPr>
          <w:rFonts w:hint="default"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Cs/>
          <w:kern w:val="2"/>
          <w:sz w:val="28"/>
          <w:szCs w:val="28"/>
          <w:highlight w:val="none"/>
          <w:lang w:val="en-US" w:eastAsia="zh-CN" w:bidi="ar-SA"/>
        </w:rPr>
        <w:t>2022年度两厂片区环卫绿化外包及管理费专项资金共计支出722.16</w:t>
      </w:r>
      <w:r>
        <w:rPr>
          <w:rFonts w:hint="eastAsia" w:asciiTheme="minorEastAsia" w:hAnsiTheme="minorEastAsia" w:eastAsiaTheme="minorEastAsia" w:cstheme="minorEastAsia"/>
          <w:b w:val="0"/>
          <w:bCs w:val="0"/>
          <w:kern w:val="2"/>
          <w:sz w:val="28"/>
          <w:szCs w:val="28"/>
          <w:lang w:val="en-US" w:eastAsia="zh-CN" w:bidi="ar-SA"/>
        </w:rPr>
        <w:t>万元，包含外包服务费、修剪费、劳务费、补植费等开支，翻阅凭证过程中发现，大部分合同未标明地段，仅用两厂片区代替，合同签订不严谨。</w:t>
      </w:r>
    </w:p>
    <w:p>
      <w:pPr>
        <w:pStyle w:val="34"/>
        <w:ind w:firstLine="560" w:firstLineChars="200"/>
        <w:rPr>
          <w:rFonts w:hint="default"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评价小组认为：环卫绿化所应在合同中标明地段，以及在会议记录中写明原因，避免重复列支的情况。</w:t>
      </w:r>
    </w:p>
    <w:p>
      <w:pPr>
        <w:pStyle w:val="34"/>
        <w:ind w:firstLine="562" w:firstLineChars="200"/>
        <w:rPr>
          <w:rFonts w:hint="default" w:asciiTheme="minorEastAsia" w:hAnsiTheme="minorEastAsia" w:eastAsiaTheme="minorEastAsia" w:cstheme="minorEastAsia"/>
          <w:b/>
          <w:bCs/>
          <w:color w:val="auto"/>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4、把关不严导致工程质量存在瑕疵</w:t>
      </w:r>
    </w:p>
    <w:p>
      <w:pPr>
        <w:pStyle w:val="24"/>
        <w:ind w:left="0" w:leftChars="0" w:firstLine="560" w:firstLineChars="200"/>
        <w:rPr>
          <w:rFonts w:hint="default"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抽查2021年工程项目发现，2021年城市管理和综合执法局开展了长炼水上公园水电及公厕改造项目，项目内容包括：铺设电缆、综合维修、更换排水管等；2021年9月，环卫所对该项目进行了验收，2021年11月通过了财政结算评审，但在2022年专项经费支出中，水上公园使用资金38374元，其中水上公园水管填埋5600元，健身器材维修费1200元、运动器材10690元等。经现场查看与周边抽查核实，是因为公众损坏、人为原因进行了返修。</w:t>
      </w:r>
    </w:p>
    <w:p>
      <w:pPr>
        <w:pStyle w:val="24"/>
        <w:ind w:left="0" w:leftChars="0" w:firstLine="560" w:firstLineChars="200"/>
        <w:rPr>
          <w:rFonts w:hint="default"/>
          <w:color w:val="auto"/>
          <w:lang w:val="en-US" w:eastAsia="zh-CN"/>
        </w:rPr>
      </w:pPr>
      <w:r>
        <w:rPr>
          <w:rFonts w:hint="eastAsia" w:asciiTheme="minorEastAsia" w:hAnsiTheme="minorEastAsia" w:eastAsiaTheme="minorEastAsia" w:cstheme="minorEastAsia"/>
          <w:b w:val="0"/>
          <w:bCs w:val="0"/>
          <w:kern w:val="2"/>
          <w:sz w:val="28"/>
          <w:szCs w:val="28"/>
          <w:lang w:val="en-US" w:eastAsia="zh-CN" w:bidi="ar-SA"/>
        </w:rPr>
        <w:t>评价小组认为：水上公园2021年才改造完工，在2022年马上进行维修，环卫绿化所</w:t>
      </w:r>
      <w:r>
        <w:rPr>
          <w:rFonts w:hint="eastAsia" w:asciiTheme="minorEastAsia" w:hAnsiTheme="minorEastAsia" w:eastAsiaTheme="minorEastAsia" w:cstheme="minorEastAsia"/>
          <w:b w:val="0"/>
          <w:bCs w:val="0"/>
          <w:color w:val="auto"/>
          <w:kern w:val="2"/>
          <w:sz w:val="28"/>
          <w:szCs w:val="28"/>
          <w:lang w:val="en-US" w:eastAsia="zh-CN" w:bidi="ar-SA"/>
        </w:rPr>
        <w:t>在2021年水上公园项目工程款结算时，应暂扣质保金，对1年内完工项目质量问题，建设方应无条件返修，竣工验收程序不到位，导致2022年再次支付维修费。</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2" w:firstLineChars="200"/>
        <w:jc w:val="left"/>
        <w:textAlignment w:val="auto"/>
        <w:rPr>
          <w:rFonts w:hint="eastAsia" w:asciiTheme="minorEastAsia" w:hAnsiTheme="minorEastAsia" w:eastAsiaTheme="minorEastAsia" w:cstheme="minorEastAsia"/>
          <w:b/>
          <w:bCs/>
          <w:color w:val="000000" w:themeColor="text1"/>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8"/>
          <w:szCs w:val="28"/>
          <w:highlight w:val="none"/>
          <w:lang w:val="en-US" w:eastAsia="zh-CN" w:bidi="ar-SA"/>
          <w14:textFill>
            <w14:solidFill>
              <w14:schemeClr w14:val="tx1"/>
            </w14:solidFill>
          </w14:textFill>
        </w:rPr>
        <w:t>四、有关建议</w:t>
      </w:r>
    </w:p>
    <w:p>
      <w:pPr>
        <w:pStyle w:val="24"/>
        <w:ind w:left="0" w:leftChars="0" w:firstLine="560" w:firstLineChars="200"/>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sz w:val="28"/>
          <w:szCs w:val="28"/>
          <w:lang w:val="en-US" w:eastAsia="zh-CN"/>
        </w:rPr>
        <w:t>1、</w:t>
      </w:r>
      <w:r>
        <w:rPr>
          <w:rFonts w:hint="eastAsia" w:asciiTheme="minorEastAsia" w:hAnsiTheme="minorEastAsia" w:eastAsiaTheme="minorEastAsia" w:cstheme="minorEastAsia"/>
          <w:b w:val="0"/>
          <w:bCs w:val="0"/>
          <w:kern w:val="2"/>
          <w:sz w:val="28"/>
          <w:szCs w:val="28"/>
          <w:lang w:val="en-US" w:eastAsia="zh-CN" w:bidi="ar-SA"/>
        </w:rPr>
        <w:t>单位要按规定编制项目资金绩效自评报告，科学设定绩效目标和指标，增强项目效果可信度。</w:t>
      </w:r>
    </w:p>
    <w:p>
      <w:pPr>
        <w:pStyle w:val="24"/>
        <w:ind w:left="0" w:leftChars="0" w:firstLine="560" w:firstLineChars="200"/>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资金使用单位绩效指标设定应尽量量化、可考核化，强化项目本身实施后可能带来的社会和经济效益。在提出项目绩效目标时，充分考虑项目的实际情况，科学、合理的量身制订适合本项目绩效的有关指标，从数量、质量、成本和效益四个方面进行分析，应该与资金使用单位所在区域社会经济发展的宏观政策目标相联结，明确项目产出的同时，对项目的效益指标需要有进一步的论述，并结合项目的性质设定个性化指标。在指标量化方面，要根据历史数据，综合考虑社会形势、经济发展水平等多个因素，合理制定项目产出、经济效益、社会效益、可持续效益等指标的量化目标。</w:t>
      </w:r>
    </w:p>
    <w:p>
      <w:pPr>
        <w:numPr>
          <w:ilvl w:val="0"/>
          <w:numId w:val="6"/>
        </w:numPr>
        <w:ind w:left="560" w:leftChars="0" w:firstLine="0" w:firstLineChars="0"/>
        <w:rPr>
          <w:rFonts w:hint="eastAsia" w:asciiTheme="minorEastAsia" w:hAnsiTheme="minorEastAsia" w:eastAsiaTheme="minorEastAsia" w:cstheme="minorEastAsia"/>
          <w:b w:val="0"/>
          <w:bCs/>
          <w:i w:val="0"/>
          <w:caps w:val="0"/>
          <w:color w:val="auto"/>
          <w:spacing w:val="0"/>
          <w:kern w:val="44"/>
          <w:sz w:val="28"/>
          <w:szCs w:val="28"/>
          <w:shd w:val="clear" w:color="auto" w:fill="FFFFFF"/>
          <w:lang w:val="en-US" w:eastAsia="zh-CN" w:bidi="ar-SA"/>
        </w:rPr>
      </w:pPr>
      <w:r>
        <w:rPr>
          <w:rFonts w:hint="eastAsia" w:asciiTheme="minorEastAsia" w:hAnsiTheme="minorEastAsia" w:eastAsiaTheme="minorEastAsia" w:cstheme="minorEastAsia"/>
          <w:b w:val="0"/>
          <w:bCs/>
          <w:i w:val="0"/>
          <w:caps w:val="0"/>
          <w:color w:val="auto"/>
          <w:spacing w:val="0"/>
          <w:kern w:val="44"/>
          <w:sz w:val="28"/>
          <w:szCs w:val="28"/>
          <w:shd w:val="clear" w:color="auto" w:fill="FFFFFF"/>
          <w:lang w:val="en-US" w:eastAsia="zh-CN" w:bidi="ar-SA"/>
        </w:rPr>
        <w:t>加强项目资金管理，严控超范围使用项目资金</w:t>
      </w:r>
    </w:p>
    <w:p>
      <w:pPr>
        <w:numPr>
          <w:ilvl w:val="0"/>
          <w:numId w:val="0"/>
        </w:numPr>
        <w:ind w:firstLine="560" w:firstLineChars="200"/>
        <w:rPr>
          <w:rFonts w:hint="eastAsia" w:asciiTheme="minorEastAsia" w:hAnsiTheme="minorEastAsia" w:eastAsiaTheme="minorEastAsia" w:cstheme="minorEastAsia"/>
          <w:b w:val="0"/>
          <w:bCs/>
          <w:i w:val="0"/>
          <w:caps w:val="0"/>
          <w:color w:val="auto"/>
          <w:spacing w:val="0"/>
          <w:kern w:val="44"/>
          <w:sz w:val="28"/>
          <w:szCs w:val="28"/>
          <w:shd w:val="clear" w:color="auto" w:fill="FFFFFF"/>
          <w:lang w:val="en-US" w:eastAsia="zh-CN" w:bidi="ar-SA"/>
        </w:rPr>
      </w:pPr>
      <w:r>
        <w:rPr>
          <w:rFonts w:hint="eastAsia" w:asciiTheme="minorEastAsia" w:hAnsiTheme="minorEastAsia" w:eastAsiaTheme="minorEastAsia" w:cstheme="minorEastAsia"/>
          <w:b w:val="0"/>
          <w:bCs/>
          <w:i w:val="0"/>
          <w:caps w:val="0"/>
          <w:color w:val="auto"/>
          <w:spacing w:val="0"/>
          <w:kern w:val="44"/>
          <w:sz w:val="28"/>
          <w:szCs w:val="28"/>
          <w:shd w:val="clear" w:color="auto" w:fill="FFFFFF"/>
          <w:lang w:val="en-US" w:eastAsia="zh-CN" w:bidi="ar-SA"/>
        </w:rPr>
        <w:t>严格按照项目预算使用范围支付项目资金，保证支出内容的相符性及一致性，严格控制超出项目资金使用范围的支出。</w:t>
      </w:r>
    </w:p>
    <w:p>
      <w:pPr>
        <w:pStyle w:val="24"/>
        <w:ind w:left="0" w:leftChars="0" w:firstLine="560" w:firstLineChars="200"/>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3、强化项目全过程管理，提高政策执行力度。</w:t>
      </w:r>
    </w:p>
    <w:p>
      <w:pPr>
        <w:pStyle w:val="24"/>
        <w:ind w:left="0" w:leftChars="0" w:firstLine="560" w:firstLineChars="200"/>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进一步强化项目全过程管理，提高政策执行力度。主管单位应加大项目实施的过程监督，严格执行国家财经法规。资金使用单位加强资金的管理，从严控制项目支出，确保项目实施全过程合规、合法，较好的实现项目实施目标。</w:t>
      </w:r>
    </w:p>
    <w:p>
      <w:pPr>
        <w:pStyle w:val="24"/>
        <w:numPr>
          <w:ilvl w:val="0"/>
          <w:numId w:val="0"/>
        </w:numPr>
        <w:spacing w:line="360" w:lineRule="auto"/>
        <w:ind w:firstLine="560" w:firstLineChars="200"/>
        <w:rPr>
          <w:rFonts w:hint="default" w:ascii="宋体" w:hAnsi="宋体" w:eastAsia="宋体" w:cs="宋体"/>
          <w:b w:val="0"/>
          <w:bCs/>
          <w:sz w:val="28"/>
          <w:szCs w:val="28"/>
          <w:lang w:val="en-US" w:eastAsia="zh-CN"/>
        </w:rPr>
      </w:pPr>
      <w:r>
        <w:rPr>
          <w:rFonts w:hint="eastAsia" w:ascii="宋体" w:hAnsi="宋体" w:cs="宋体"/>
          <w:b w:val="0"/>
          <w:bCs/>
          <w:sz w:val="28"/>
          <w:szCs w:val="28"/>
          <w:lang w:val="en-US" w:eastAsia="zh-CN"/>
        </w:rPr>
        <w:t>4、</w:t>
      </w:r>
      <w:r>
        <w:rPr>
          <w:rFonts w:hint="eastAsia" w:ascii="宋体" w:hAnsi="宋体" w:eastAsia="宋体" w:cs="宋体"/>
          <w:b w:val="0"/>
          <w:bCs w:val="0"/>
          <w:color w:val="000000" w:themeColor="text1"/>
          <w:sz w:val="28"/>
          <w:szCs w:val="28"/>
          <w:lang w:val="en-US" w:eastAsia="zh-CN"/>
          <w14:textFill>
            <w14:solidFill>
              <w14:schemeClr w14:val="tx1"/>
            </w14:solidFill>
          </w14:textFill>
        </w:rPr>
        <w:t>创新养护考核办法，</w:t>
      </w:r>
      <w:r>
        <w:rPr>
          <w:rFonts w:hint="eastAsia" w:ascii="宋体" w:hAnsi="宋体" w:cs="宋体"/>
          <w:b w:val="0"/>
          <w:bCs/>
          <w:sz w:val="28"/>
          <w:szCs w:val="28"/>
          <w:lang w:val="en-US" w:eastAsia="zh-CN"/>
        </w:rPr>
        <w:t>制定年度考核制度及评分标准，</w:t>
      </w:r>
      <w:r>
        <w:rPr>
          <w:rFonts w:hint="eastAsia" w:ascii="宋体" w:hAnsi="宋体" w:eastAsia="宋体" w:cs="宋体"/>
          <w:b w:val="0"/>
          <w:bCs w:val="0"/>
          <w:color w:val="000000" w:themeColor="text1"/>
          <w:sz w:val="28"/>
          <w:szCs w:val="28"/>
          <w:lang w:val="en-US" w:eastAsia="zh-CN"/>
          <w14:textFill>
            <w14:solidFill>
              <w14:schemeClr w14:val="tx1"/>
            </w14:solidFill>
          </w14:textFill>
        </w:rPr>
        <w:t>加强质量监管</w:t>
      </w:r>
      <w:r>
        <w:rPr>
          <w:rFonts w:hint="eastAsia" w:ascii="宋体" w:hAnsi="宋体" w:cs="宋体"/>
          <w:b w:val="0"/>
          <w:bCs w:val="0"/>
          <w:color w:val="000000" w:themeColor="text1"/>
          <w:sz w:val="28"/>
          <w:szCs w:val="28"/>
          <w:lang w:val="en-US" w:eastAsia="zh-CN"/>
          <w14:textFill>
            <w14:solidFill>
              <w14:schemeClr w14:val="tx1"/>
            </w14:solidFill>
          </w14:textFill>
        </w:rPr>
        <w:t>。</w:t>
      </w:r>
    </w:p>
    <w:p>
      <w:pPr>
        <w:pStyle w:val="24"/>
        <w:numPr>
          <w:ilvl w:val="0"/>
          <w:numId w:val="0"/>
        </w:numPr>
        <w:spacing w:line="360" w:lineRule="auto"/>
        <w:ind w:firstLine="560" w:firstLineChars="200"/>
        <w:rPr>
          <w:rFonts w:hint="eastAsia" w:ascii="宋体" w:hAnsi="宋体" w:cs="宋体"/>
          <w:sz w:val="28"/>
          <w:szCs w:val="28"/>
        </w:rPr>
      </w:pPr>
      <w:r>
        <w:rPr>
          <w:rFonts w:hint="eastAsia" w:ascii="宋体" w:hAnsi="宋体" w:cs="宋体"/>
          <w:sz w:val="28"/>
          <w:szCs w:val="28"/>
          <w:lang w:val="en-US" w:eastAsia="zh-CN"/>
        </w:rPr>
        <w:t>环卫绿化服务所应对两厂片区承包公司的服务制定相应的考核制度以及评分标准，</w:t>
      </w:r>
      <w:r>
        <w:rPr>
          <w:rFonts w:hint="eastAsia" w:asciiTheme="minorEastAsia" w:hAnsiTheme="minorEastAsia" w:eastAsiaTheme="minorEastAsia" w:cstheme="minorEastAsia"/>
          <w:kern w:val="0"/>
          <w:sz w:val="28"/>
          <w:szCs w:val="28"/>
          <w:lang w:val="en-US" w:eastAsia="zh-CN" w:bidi="ar-SA"/>
        </w:rPr>
        <w:t>制定“绿化管养、两厂片区清扫”准则，日常养护如除草、培土、施肥、修剪以及病虫害防治等具体养护细节有一个指导性的衡量标准，采取定期检查、不定期抽查两种考核方式，定期考核以月度考核为主，不定期考核即经常性巡查及重大节日、庆典、“迎检”等指令性检查时所进行的随机抽查考核，考核采用百分制，制定《考核评分表》，按综合得分：总评分≥90分为优秀；90分＞总评分≥80分为合格；低于80分为不合格。</w:t>
      </w:r>
      <w:r>
        <w:rPr>
          <w:rFonts w:hint="eastAsia" w:ascii="宋体" w:hAnsi="宋体" w:cs="宋体"/>
          <w:sz w:val="28"/>
          <w:szCs w:val="28"/>
          <w:lang w:val="en-US" w:eastAsia="zh-CN"/>
        </w:rPr>
        <w:t>形成每季度考核评分，年度汇总报告的模式。根据每季度每年度的考核结果，提出整改意见，对下年度承包费用进行相应的调增或者调减</w:t>
      </w:r>
      <w:r>
        <w:rPr>
          <w:rFonts w:hint="eastAsia" w:ascii="宋体" w:hAnsi="宋体" w:cs="宋体"/>
          <w:sz w:val="28"/>
          <w:szCs w:val="28"/>
        </w:rPr>
        <w:t>。</w:t>
      </w:r>
    </w:p>
    <w:p>
      <w:pPr>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五</w:t>
      </w:r>
      <w:r>
        <w:rPr>
          <w:rFonts w:hint="eastAsia" w:asciiTheme="minorEastAsia" w:hAnsiTheme="minorEastAsia" w:eastAsiaTheme="minorEastAsia" w:cstheme="minorEastAsia"/>
          <w:b/>
          <w:sz w:val="28"/>
          <w:szCs w:val="28"/>
        </w:rPr>
        <w:t>、其他需要说明的问题</w:t>
      </w:r>
    </w:p>
    <w:p>
      <w:pPr>
        <w:ind w:firstLine="560" w:firstLineChars="200"/>
        <w:rPr>
          <w:rFonts w:hint="eastAsia" w:ascii="宋体" w:hAnsi="宋体" w:eastAsia="宋体" w:cs="宋体"/>
          <w:color w:val="000000"/>
          <w:sz w:val="28"/>
          <w:szCs w:val="28"/>
        </w:rPr>
      </w:pPr>
      <w:r>
        <w:rPr>
          <w:rFonts w:hint="eastAsia" w:asciiTheme="minorEastAsia" w:hAnsiTheme="minorEastAsia" w:eastAsiaTheme="minorEastAsia" w:cstheme="minorEastAsia"/>
          <w:color w:val="000000"/>
          <w:sz w:val="28"/>
          <w:szCs w:val="28"/>
        </w:rPr>
        <w:t xml:space="preserve"> 1、本报告数据仅根据</w:t>
      </w:r>
      <w:r>
        <w:rPr>
          <w:rFonts w:hint="eastAsia" w:asciiTheme="minorEastAsia" w:hAnsiTheme="minorEastAsia" w:eastAsiaTheme="minorEastAsia" w:cstheme="minorEastAsia"/>
          <w:sz w:val="28"/>
          <w:szCs w:val="28"/>
        </w:rPr>
        <w:t>项目单位</w:t>
      </w:r>
      <w:r>
        <w:rPr>
          <w:rFonts w:hint="eastAsia" w:asciiTheme="minorEastAsia" w:hAnsiTheme="minorEastAsia" w:eastAsiaTheme="minorEastAsia" w:cstheme="minorEastAsia"/>
          <w:color w:val="000000"/>
          <w:sz w:val="28"/>
          <w:szCs w:val="28"/>
        </w:rPr>
        <w:t>提供的文件、资料、原始</w:t>
      </w:r>
      <w:r>
        <w:rPr>
          <w:rFonts w:hint="eastAsia" w:asciiTheme="minorEastAsia" w:hAnsiTheme="minorEastAsia" w:eastAsiaTheme="minorEastAsia" w:cstheme="minorEastAsia"/>
          <w:color w:val="000000"/>
          <w:sz w:val="28"/>
          <w:szCs w:val="28"/>
          <w:lang w:val="en-US" w:eastAsia="zh-CN"/>
        </w:rPr>
        <w:t>凭</w:t>
      </w:r>
      <w:r>
        <w:rPr>
          <w:rFonts w:hint="eastAsia" w:asciiTheme="minorEastAsia" w:hAnsiTheme="minorEastAsia" w:eastAsiaTheme="minorEastAsia" w:cstheme="minorEastAsia"/>
          <w:color w:val="000000"/>
          <w:sz w:val="28"/>
          <w:szCs w:val="28"/>
        </w:rPr>
        <w:t>证、清单数据及内</w:t>
      </w:r>
      <w:r>
        <w:rPr>
          <w:rFonts w:hint="eastAsia" w:ascii="宋体" w:hAnsi="宋体" w:eastAsia="宋体" w:cs="宋体"/>
          <w:color w:val="000000"/>
          <w:sz w:val="28"/>
          <w:szCs w:val="28"/>
        </w:rPr>
        <w:t>容进行的</w:t>
      </w:r>
      <w:r>
        <w:rPr>
          <w:rFonts w:hint="eastAsia" w:ascii="宋体" w:hAnsi="宋体" w:eastAsia="宋体" w:cs="宋体"/>
          <w:color w:val="000000"/>
          <w:sz w:val="28"/>
          <w:szCs w:val="28"/>
          <w:lang w:eastAsia="zh-CN"/>
        </w:rPr>
        <w:t>评价</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绩效评价</w:t>
      </w:r>
      <w:r>
        <w:rPr>
          <w:rFonts w:hint="eastAsia" w:ascii="宋体" w:hAnsi="宋体" w:eastAsia="宋体" w:cs="宋体"/>
          <w:color w:val="000000"/>
          <w:sz w:val="28"/>
          <w:szCs w:val="28"/>
        </w:rPr>
        <w:t>意见和观点是在</w:t>
      </w:r>
      <w:r>
        <w:rPr>
          <w:rFonts w:hint="eastAsia" w:ascii="宋体" w:hAnsi="宋体" w:eastAsia="宋体" w:cs="宋体"/>
          <w:color w:val="000000"/>
          <w:sz w:val="28"/>
          <w:szCs w:val="28"/>
          <w:lang w:eastAsia="zh-CN"/>
        </w:rPr>
        <w:t>规定</w:t>
      </w:r>
      <w:r>
        <w:rPr>
          <w:rFonts w:hint="eastAsia" w:ascii="宋体" w:hAnsi="宋体" w:eastAsia="宋体" w:cs="宋体"/>
          <w:color w:val="000000"/>
          <w:sz w:val="28"/>
          <w:szCs w:val="28"/>
        </w:rPr>
        <w:t>时点的基础上出具的，</w:t>
      </w:r>
      <w:r>
        <w:rPr>
          <w:rFonts w:hint="eastAsia" w:ascii="宋体" w:hAnsi="宋体" w:eastAsia="宋体" w:cs="宋体"/>
          <w:color w:val="000000"/>
          <w:sz w:val="28"/>
          <w:szCs w:val="28"/>
          <w:lang w:eastAsia="zh-CN"/>
        </w:rPr>
        <w:t>本报告不包含之后项目的动态变化情况</w:t>
      </w:r>
      <w:r>
        <w:rPr>
          <w:rFonts w:hint="eastAsia" w:ascii="宋体" w:hAnsi="宋体" w:eastAsia="宋体" w:cs="宋体"/>
          <w:color w:val="000000"/>
          <w:sz w:val="28"/>
          <w:szCs w:val="28"/>
        </w:rPr>
        <w:t>。</w:t>
      </w:r>
    </w:p>
    <w:p>
      <w:pPr>
        <w:rPr>
          <w:rFonts w:hint="eastAsia" w:ascii="宋体" w:hAnsi="宋体" w:eastAsia="宋体" w:cs="宋体"/>
          <w:color w:val="000000"/>
          <w:sz w:val="28"/>
          <w:szCs w:val="28"/>
          <w:lang w:eastAsia="zh-CN"/>
        </w:rPr>
      </w:pPr>
      <w:r>
        <w:rPr>
          <w:rFonts w:hint="eastAsia" w:ascii="宋体" w:hAnsi="宋体" w:eastAsia="宋体" w:cs="宋体"/>
          <w:sz w:val="28"/>
          <w:szCs w:val="28"/>
        </w:rPr>
        <w:t xml:space="preserve">  </w:t>
      </w:r>
      <w:r>
        <w:rPr>
          <w:rFonts w:hint="eastAsia" w:ascii="宋体" w:hAnsi="宋体" w:eastAsia="宋体" w:cs="宋体"/>
          <w:color w:val="000000"/>
          <w:sz w:val="28"/>
          <w:szCs w:val="28"/>
          <w:lang w:eastAsia="zh-CN"/>
        </w:rPr>
        <w:t xml:space="preserve">   2、本报告仅供</w:t>
      </w:r>
      <w:r>
        <w:rPr>
          <w:rFonts w:hint="eastAsia" w:ascii="宋体" w:hAnsi="宋体" w:cs="宋体"/>
          <w:color w:val="000000"/>
          <w:sz w:val="28"/>
          <w:szCs w:val="28"/>
          <w:lang w:val="en-US" w:eastAsia="zh-CN"/>
        </w:rPr>
        <w:t>岳阳市云溪区环卫绿化服务所</w:t>
      </w:r>
      <w:r>
        <w:rPr>
          <w:rFonts w:hint="eastAsia" w:ascii="宋体" w:hAnsi="宋体" w:eastAsia="宋体" w:cs="宋体"/>
          <w:color w:val="000000"/>
          <w:sz w:val="28"/>
          <w:szCs w:val="28"/>
          <w:lang w:val="en-US" w:eastAsia="zh-CN"/>
        </w:rPr>
        <w:t>园林绿化专项资金</w:t>
      </w:r>
      <w:r>
        <w:rPr>
          <w:rFonts w:hint="eastAsia" w:ascii="宋体" w:hAnsi="宋体" w:eastAsia="宋体" w:cs="宋体"/>
          <w:color w:val="000000"/>
          <w:sz w:val="28"/>
          <w:szCs w:val="28"/>
          <w:lang w:eastAsia="zh-CN"/>
        </w:rPr>
        <w:t>绩效评价评分表提供的绩效评价依据，不能作为其他用途。</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以上因使用不当造成任何后果与本报告执业注册会计师及本事务所无关。</w:t>
      </w:r>
    </w:p>
    <w:p>
      <w:pPr>
        <w:spacing w:line="300" w:lineRule="auto"/>
        <w:ind w:firstLine="280" w:firstLineChars="1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(此页无正文）</w:t>
      </w:r>
    </w:p>
    <w:p>
      <w:pPr>
        <w:spacing w:line="300" w:lineRule="auto"/>
        <w:ind w:firstLine="560" w:firstLineChars="200"/>
        <w:rPr>
          <w:rFonts w:hint="eastAsia" w:asciiTheme="minorEastAsia" w:hAnsiTheme="minorEastAsia" w:eastAsiaTheme="minorEastAsia" w:cstheme="minorEastAsia"/>
          <w:sz w:val="28"/>
          <w:szCs w:val="28"/>
        </w:rPr>
      </w:pPr>
    </w:p>
    <w:p>
      <w:pPr>
        <w:spacing w:line="30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p>
    <w:p>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云溪区2022年度两厂片区环卫绿化外包及管理费绩效评价指标体系</w:t>
      </w:r>
      <w:r>
        <w:rPr>
          <w:rFonts w:hint="eastAsia" w:asciiTheme="minorEastAsia" w:hAnsiTheme="minorEastAsia" w:eastAsiaTheme="minorEastAsia" w:cstheme="minorEastAsia"/>
          <w:sz w:val="28"/>
          <w:szCs w:val="28"/>
          <w:highlight w:val="none"/>
        </w:rPr>
        <w:t>》</w:t>
      </w:r>
    </w:p>
    <w:p>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云溪区2022年度两厂片区环卫绿化外包及管理费绩效评分表</w:t>
      </w:r>
      <w:r>
        <w:rPr>
          <w:rFonts w:hint="eastAsia" w:asciiTheme="minorEastAsia" w:hAnsiTheme="minorEastAsia" w:eastAsiaTheme="minorEastAsia" w:cstheme="minorEastAsia"/>
          <w:sz w:val="28"/>
          <w:szCs w:val="28"/>
          <w:highlight w:val="none"/>
        </w:rPr>
        <w:t>》</w:t>
      </w:r>
    </w:p>
    <w:p>
      <w:pPr>
        <w:pStyle w:val="34"/>
        <w:ind w:firstLine="560"/>
        <w:rPr>
          <w:rFonts w:hint="default"/>
          <w:lang w:val="en-US" w:eastAsia="zh-CN"/>
        </w:rPr>
      </w:pPr>
    </w:p>
    <w:p>
      <w:pPr>
        <w:pStyle w:val="34"/>
        <w:ind w:firstLine="560"/>
        <w:rPr>
          <w:rFonts w:hint="default"/>
          <w:lang w:val="en-US" w:eastAsia="zh-CN"/>
        </w:rPr>
      </w:pPr>
    </w:p>
    <w:p>
      <w:pPr>
        <w:pStyle w:val="34"/>
        <w:ind w:firstLine="560"/>
        <w:rPr>
          <w:rFonts w:hint="default"/>
          <w:lang w:val="en-US" w:eastAsia="zh-CN"/>
        </w:rPr>
      </w:pPr>
    </w:p>
    <w:p>
      <w:pPr>
        <w:pStyle w:val="34"/>
        <w:ind w:firstLine="56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900" w:lineRule="exact"/>
        <w:ind w:firstLine="4480" w:firstLineChars="16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 xml:space="preserve">湖南公众会计师事务所有限公司      </w:t>
      </w:r>
    </w:p>
    <w:p>
      <w:pPr>
        <w:rPr>
          <w:rFonts w:hint="eastAsia" w:asciiTheme="minorEastAsia" w:hAnsiTheme="minorEastAsia" w:eastAsiaTheme="minorEastAsia" w:cstheme="minorEastAsia"/>
          <w:b/>
          <w:color w:val="000000"/>
          <w:kern w:val="0"/>
          <w:sz w:val="28"/>
          <w:szCs w:val="28"/>
        </w:rPr>
      </w:pPr>
      <w:r>
        <w:rPr>
          <w:rFonts w:hint="eastAsia" w:asciiTheme="minorEastAsia" w:hAnsiTheme="minorEastAsia" w:eastAsiaTheme="minorEastAsia" w:cstheme="minorEastAsia"/>
          <w:b/>
          <w:color w:val="000000"/>
          <w:kern w:val="0"/>
          <w:sz w:val="28"/>
          <w:szCs w:val="28"/>
          <w:lang w:val="en-US" w:eastAsia="zh-CN"/>
        </w:rPr>
        <w:t xml:space="preserve">                              </w:t>
      </w:r>
      <w:r>
        <w:rPr>
          <w:rFonts w:hint="eastAsia" w:ascii="宋体" w:hAnsi="宋体" w:eastAsia="宋体" w:cs="宋体"/>
          <w:b w:val="0"/>
          <w:bCs w:val="0"/>
          <w:kern w:val="2"/>
          <w:sz w:val="28"/>
          <w:szCs w:val="28"/>
          <w:highlight w:val="none"/>
          <w:lang w:val="en-US" w:eastAsia="zh-CN" w:bidi="ar-SA"/>
        </w:rPr>
        <w:t xml:space="preserve">      202</w:t>
      </w:r>
      <w:r>
        <w:rPr>
          <w:rFonts w:hint="eastAsia" w:ascii="宋体" w:hAnsi="宋体" w:cs="宋体"/>
          <w:b w:val="0"/>
          <w:bCs w:val="0"/>
          <w:kern w:val="2"/>
          <w:sz w:val="28"/>
          <w:szCs w:val="28"/>
          <w:highlight w:val="none"/>
          <w:lang w:val="en-US" w:eastAsia="zh-CN" w:bidi="ar-SA"/>
        </w:rPr>
        <w:t>3</w:t>
      </w:r>
      <w:r>
        <w:rPr>
          <w:rFonts w:hint="eastAsia" w:ascii="宋体" w:hAnsi="宋体" w:eastAsia="宋体" w:cs="宋体"/>
          <w:b w:val="0"/>
          <w:bCs w:val="0"/>
          <w:kern w:val="2"/>
          <w:sz w:val="28"/>
          <w:szCs w:val="28"/>
          <w:highlight w:val="none"/>
          <w:lang w:val="en-US" w:eastAsia="zh-CN" w:bidi="ar-SA"/>
        </w:rPr>
        <w:t>年</w:t>
      </w:r>
      <w:r>
        <w:rPr>
          <w:rFonts w:hint="eastAsia" w:ascii="宋体" w:hAnsi="宋体" w:cs="宋体"/>
          <w:b w:val="0"/>
          <w:bCs w:val="0"/>
          <w:kern w:val="2"/>
          <w:sz w:val="28"/>
          <w:szCs w:val="28"/>
          <w:highlight w:val="none"/>
          <w:lang w:val="en-US" w:eastAsia="zh-CN" w:bidi="ar-SA"/>
        </w:rPr>
        <w:t>9</w:t>
      </w:r>
      <w:r>
        <w:rPr>
          <w:rFonts w:hint="eastAsia" w:ascii="宋体" w:hAnsi="宋体" w:eastAsia="宋体" w:cs="宋体"/>
          <w:b w:val="0"/>
          <w:bCs w:val="0"/>
          <w:kern w:val="2"/>
          <w:sz w:val="28"/>
          <w:szCs w:val="28"/>
          <w:highlight w:val="none"/>
          <w:lang w:val="en-US" w:eastAsia="zh-CN" w:bidi="ar-SA"/>
        </w:rPr>
        <w:t>月</w:t>
      </w:r>
      <w:r>
        <w:rPr>
          <w:rFonts w:hint="eastAsia" w:ascii="宋体" w:hAnsi="宋体" w:cs="宋体"/>
          <w:b w:val="0"/>
          <w:bCs w:val="0"/>
          <w:kern w:val="2"/>
          <w:sz w:val="28"/>
          <w:szCs w:val="28"/>
          <w:highlight w:val="none"/>
          <w:lang w:val="en-US" w:eastAsia="zh-CN" w:bidi="ar-SA"/>
        </w:rPr>
        <w:t>5</w:t>
      </w:r>
      <w:r>
        <w:rPr>
          <w:rFonts w:hint="eastAsia" w:ascii="宋体" w:hAnsi="宋体" w:eastAsia="宋体" w:cs="宋体"/>
          <w:b w:val="0"/>
          <w:bCs w:val="0"/>
          <w:kern w:val="2"/>
          <w:sz w:val="28"/>
          <w:szCs w:val="28"/>
          <w:highlight w:val="none"/>
          <w:lang w:val="en-US" w:eastAsia="zh-CN" w:bidi="ar-SA"/>
        </w:rPr>
        <w:t>日</w:t>
      </w:r>
    </w:p>
    <w:sectPr>
      <w:footerReference r:id="rId8" w:type="first"/>
      <w:headerReference r:id="rId6" w:type="default"/>
      <w:footerReference r:id="rId7" w:type="default"/>
      <w:pgSz w:w="11906" w:h="16838"/>
      <w:pgMar w:top="1440" w:right="1644" w:bottom="1247" w:left="164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rPr>
        <w:rFonts w:hint="eastAsia"/>
        <w:b/>
        <w:bCs/>
      </w:rPr>
      <w:t xml:space="preserve">  </w:t>
    </w:r>
    <w:r>
      <w:rPr>
        <w:rFonts w:hint="eastAsia" w:eastAsia="仿宋"/>
        <w:b/>
        <w:bCs/>
      </w:rPr>
      <w:t xml:space="preserve">湖 南 </w:t>
    </w:r>
    <w:r>
      <w:rPr>
        <w:rFonts w:hint="eastAsia" w:eastAsia="仿宋"/>
        <w:b/>
        <w:bCs/>
        <w:lang w:val="en-US" w:eastAsia="zh-CN"/>
      </w:rPr>
      <w:t>公 众 会 计 师 事 务 所 有 限 公 司</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jc w:val="right"/>
                          </w:pPr>
                          <w:r>
                            <w:rPr>
                              <w:rFonts w:hint="eastAsia"/>
                              <w:b/>
                              <w:bCs/>
                            </w:rPr>
                            <w:t xml:space="preserve">                </w:t>
                          </w:r>
                          <w:r>
                            <w:rPr>
                              <w:rFonts w:hint="eastAsia" w:eastAsia="仿宋"/>
                              <w:b/>
                              <w:bCs/>
                            </w:rPr>
                            <w:t>湖 南 恒 兴 联 合 会 计 师 事 务 所</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9"/>
                      <w:jc w:val="right"/>
                    </w:pPr>
                    <w:r>
                      <w:rPr>
                        <w:rFonts w:hint="eastAsia"/>
                        <w:b/>
                        <w:bCs/>
                      </w:rPr>
                      <w:t xml:space="preserve">                </w:t>
                    </w:r>
                    <w:r>
                      <w:rPr>
                        <w:rFonts w:hint="eastAsia" w:eastAsia="仿宋"/>
                        <w:b/>
                        <w:bCs/>
                      </w:rPr>
                      <w:t>湖 南 恒 兴 联 合 会 计 师 事 务 所</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4" w:space="0"/>
      </w:pBdr>
      <w:jc w:val="right"/>
      <w:rPr>
        <w:rFonts w:hint="eastAsia" w:ascii="楷体" w:hAnsi="楷体" w:eastAsia="楷体" w:cs="楷体"/>
        <w:b/>
      </w:rPr>
    </w:pPr>
    <w:r>
      <w:rPr>
        <w:rFonts w:hint="eastAsia" w:ascii="楷体" w:hAnsi="楷体" w:eastAsia="楷体" w:cs="楷体"/>
        <w:b/>
      </w:rPr>
      <w:t xml:space="preserve">                                       岳阳市</w:t>
    </w:r>
    <w:r>
      <w:rPr>
        <w:rFonts w:hint="eastAsia" w:ascii="楷体" w:hAnsi="楷体" w:eastAsia="楷体" w:cs="楷体"/>
        <w:b/>
        <w:lang w:eastAsia="zh-CN"/>
      </w:rPr>
      <w:t>湘阴县扶贫办前期工作经费专项支出项目</w:t>
    </w:r>
    <w:r>
      <w:rPr>
        <w:rFonts w:hint="eastAsia" w:ascii="楷体" w:hAnsi="楷体" w:eastAsia="楷体" w:cs="楷体"/>
        <w:b/>
      </w:rPr>
      <w:t>绩效评价报告书</w:t>
    </w:r>
  </w:p>
  <w:p>
    <w:pPr>
      <w:pStyle w:val="20"/>
      <w:pBdr>
        <w:bottom w:val="none" w:color="auto" w:sz="0" w:space="0"/>
      </w:pBdr>
    </w:pPr>
  </w:p>
  <w:p>
    <w:pPr>
      <w:pStyle w:val="20"/>
      <w:pBdr>
        <w:bottom w:val="none" w:color="auto" w:sz="0" w:space="0"/>
      </w:pBdr>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right="360"/>
      <w:rPr>
        <w:rFonts w:hint="eastAsia" w:ascii="楷体" w:hAnsi="楷体" w:eastAsia="楷体" w:cs="楷体"/>
        <w:b/>
      </w:rPr>
    </w:pPr>
    <w:r>
      <w:rPr>
        <w:rFonts w:hint="eastAsia" w:ascii="楷体" w:hAnsi="楷体" w:eastAsia="楷体" w:cs="楷体"/>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4" w:space="0"/>
      </w:pBdr>
      <w:jc w:val="right"/>
      <w:rPr>
        <w:rFonts w:hint="eastAsia" w:ascii="楷体" w:hAnsi="楷体" w:eastAsia="楷体" w:cs="楷体"/>
        <w:b/>
      </w:rPr>
    </w:pPr>
    <w:r>
      <w:rPr>
        <w:rFonts w:hint="eastAsia" w:ascii="楷体" w:hAnsi="楷体" w:eastAsia="楷体" w:cs="楷体"/>
        <w:b/>
      </w:rPr>
      <w:t xml:space="preserve">                          </w:t>
    </w:r>
    <w:r>
      <w:rPr>
        <w:rFonts w:hint="eastAsia" w:ascii="楷体" w:hAnsi="楷体" w:eastAsia="楷体" w:cs="楷体"/>
        <w:b/>
        <w:lang w:eastAsia="zh-CN"/>
      </w:rPr>
      <w:t xml:space="preserve">  </w:t>
    </w:r>
    <w:r>
      <w:rPr>
        <w:rFonts w:hint="eastAsia" w:ascii="楷体" w:hAnsi="楷体" w:eastAsia="楷体" w:cs="楷体"/>
        <w:b/>
        <w:lang w:val="en-US" w:eastAsia="zh-CN"/>
      </w:rPr>
      <w:t>云溪区2022年度两厂片区环卫绿化外包及管理费</w:t>
    </w:r>
    <w:r>
      <w:rPr>
        <w:rFonts w:hint="eastAsia" w:ascii="楷体" w:hAnsi="楷体" w:eastAsia="楷体" w:cs="楷体"/>
        <w:b/>
      </w:rPr>
      <w:t>绩效评价报告书</w:t>
    </w:r>
  </w:p>
  <w:p>
    <w:pPr>
      <w:pStyle w:val="20"/>
      <w:pBdr>
        <w:bottom w:val="none" w:color="auto" w:sz="0" w:space="0"/>
      </w:pBdr>
    </w:pPr>
  </w:p>
  <w:p>
    <w:pPr>
      <w:pStyle w:val="20"/>
      <w:pBdr>
        <w:bottom w:val="none" w:color="auto" w:sz="0" w:space="0"/>
      </w:pBd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9E934"/>
    <w:multiLevelType w:val="singleLevel"/>
    <w:tmpl w:val="8DF9E934"/>
    <w:lvl w:ilvl="0" w:tentative="0">
      <w:start w:val="1"/>
      <w:numFmt w:val="decimal"/>
      <w:suff w:val="nothing"/>
      <w:lvlText w:val="%1、"/>
      <w:lvlJc w:val="left"/>
    </w:lvl>
  </w:abstractNum>
  <w:abstractNum w:abstractNumId="1">
    <w:nsid w:val="A29536AF"/>
    <w:multiLevelType w:val="singleLevel"/>
    <w:tmpl w:val="A29536AF"/>
    <w:lvl w:ilvl="0" w:tentative="0">
      <w:start w:val="5"/>
      <w:numFmt w:val="chineseCounting"/>
      <w:suff w:val="nothing"/>
      <w:lvlText w:val="（%1）"/>
      <w:lvlJc w:val="left"/>
      <w:rPr>
        <w:rFonts w:hint="eastAsia"/>
      </w:rPr>
    </w:lvl>
  </w:abstractNum>
  <w:abstractNum w:abstractNumId="2">
    <w:nsid w:val="0BE0F807"/>
    <w:multiLevelType w:val="singleLevel"/>
    <w:tmpl w:val="0BE0F807"/>
    <w:lvl w:ilvl="0" w:tentative="0">
      <w:start w:val="1"/>
      <w:numFmt w:val="decimal"/>
      <w:suff w:val="nothing"/>
      <w:lvlText w:val="（%1）"/>
      <w:lvlJc w:val="left"/>
    </w:lvl>
  </w:abstractNum>
  <w:abstractNum w:abstractNumId="3">
    <w:nsid w:val="1F44254B"/>
    <w:multiLevelType w:val="multilevel"/>
    <w:tmpl w:val="1F44254B"/>
    <w:lvl w:ilvl="0" w:tentative="0">
      <w:start w:val="2"/>
      <w:numFmt w:val="decimal"/>
      <w:pStyle w:val="4"/>
      <w:lvlText w:val="%1"/>
      <w:lvlJc w:val="left"/>
      <w:pPr>
        <w:tabs>
          <w:tab w:val="left" w:pos="1282"/>
        </w:tabs>
        <w:ind w:left="1282" w:hanging="432"/>
      </w:pPr>
      <w:rPr>
        <w:rFonts w:hint="eastAsia"/>
      </w:rPr>
    </w:lvl>
    <w:lvl w:ilvl="1" w:tentative="0">
      <w:start w:val="1"/>
      <w:numFmt w:val="decimal"/>
      <w:pStyle w:val="5"/>
      <w:lvlText w:val="%2"/>
      <w:lvlJc w:val="left"/>
      <w:pPr>
        <w:tabs>
          <w:tab w:val="left" w:pos="1426"/>
        </w:tabs>
        <w:ind w:left="1426" w:hanging="576"/>
      </w:pPr>
      <w:rPr>
        <w:rFonts w:ascii="Times New Roman" w:hAnsi="Times New Roman" w:eastAsia="Times New Roman" w:cs="Times New Roman"/>
      </w:rPr>
    </w:lvl>
    <w:lvl w:ilvl="2" w:tentative="0">
      <w:start w:val="1"/>
      <w:numFmt w:val="decimal"/>
      <w:pStyle w:val="6"/>
      <w:lvlText w:val="%1.%2.%3"/>
      <w:lvlJc w:val="left"/>
      <w:pPr>
        <w:tabs>
          <w:tab w:val="left" w:pos="1570"/>
        </w:tabs>
        <w:ind w:left="1570" w:hanging="720"/>
      </w:pPr>
      <w:rPr>
        <w:rFonts w:hint="eastAsia"/>
      </w:rPr>
    </w:lvl>
    <w:lvl w:ilvl="3" w:tentative="0">
      <w:start w:val="1"/>
      <w:numFmt w:val="decimal"/>
      <w:pStyle w:val="7"/>
      <w:lvlText w:val="%1.%2.%3.%4"/>
      <w:lvlJc w:val="left"/>
      <w:pPr>
        <w:tabs>
          <w:tab w:val="left" w:pos="1714"/>
        </w:tabs>
        <w:ind w:left="1714" w:hanging="864"/>
      </w:pPr>
      <w:rPr>
        <w:rFonts w:hint="eastAsia"/>
      </w:rPr>
    </w:lvl>
    <w:lvl w:ilvl="4" w:tentative="0">
      <w:start w:val="1"/>
      <w:numFmt w:val="decimal"/>
      <w:pStyle w:val="8"/>
      <w:lvlText w:val="%1.%2.%3.%4.%5"/>
      <w:lvlJc w:val="left"/>
      <w:pPr>
        <w:tabs>
          <w:tab w:val="left" w:pos="1858"/>
        </w:tabs>
        <w:ind w:left="1858" w:hanging="1008"/>
      </w:pPr>
      <w:rPr>
        <w:rFonts w:hint="eastAsia"/>
      </w:rPr>
    </w:lvl>
    <w:lvl w:ilvl="5" w:tentative="0">
      <w:start w:val="1"/>
      <w:numFmt w:val="decimal"/>
      <w:pStyle w:val="9"/>
      <w:isLgl/>
      <w:lvlText w:val="%1.%2.%3.%4.%5.%6"/>
      <w:lvlJc w:val="left"/>
      <w:pPr>
        <w:tabs>
          <w:tab w:val="left" w:pos="2002"/>
        </w:tabs>
        <w:ind w:left="2002" w:hanging="1152"/>
      </w:pPr>
      <w:rPr>
        <w:rFonts w:hint="eastAsia"/>
      </w:rPr>
    </w:lvl>
    <w:lvl w:ilvl="6" w:tentative="0">
      <w:start w:val="1"/>
      <w:numFmt w:val="decimal"/>
      <w:pStyle w:val="10"/>
      <w:lvlText w:val="%1.%2.%3.%4.%5.%6.%7"/>
      <w:lvlJc w:val="left"/>
      <w:pPr>
        <w:tabs>
          <w:tab w:val="left" w:pos="2146"/>
        </w:tabs>
        <w:ind w:left="2146" w:hanging="1296"/>
      </w:pPr>
      <w:rPr>
        <w:rFonts w:hint="eastAsia"/>
      </w:rPr>
    </w:lvl>
    <w:lvl w:ilvl="7" w:tentative="0">
      <w:start w:val="1"/>
      <w:numFmt w:val="decimal"/>
      <w:pStyle w:val="11"/>
      <w:lvlText w:val="%1.%2.%3.%4.%5.%6.%7.%8"/>
      <w:lvlJc w:val="left"/>
      <w:pPr>
        <w:tabs>
          <w:tab w:val="left" w:pos="2290"/>
        </w:tabs>
        <w:ind w:left="2290" w:hanging="1440"/>
      </w:pPr>
      <w:rPr>
        <w:rFonts w:hint="eastAsia"/>
      </w:rPr>
    </w:lvl>
    <w:lvl w:ilvl="8" w:tentative="0">
      <w:start w:val="1"/>
      <w:numFmt w:val="decimal"/>
      <w:pStyle w:val="12"/>
      <w:lvlText w:val="%1.%2.%3.%4.%5.%6.%7.%8.%9"/>
      <w:lvlJc w:val="left"/>
      <w:pPr>
        <w:tabs>
          <w:tab w:val="left" w:pos="2434"/>
        </w:tabs>
        <w:ind w:left="2434" w:hanging="1584"/>
      </w:pPr>
      <w:rPr>
        <w:rFonts w:hint="eastAsia"/>
      </w:rPr>
    </w:lvl>
  </w:abstractNum>
  <w:abstractNum w:abstractNumId="4">
    <w:nsid w:val="41743F47"/>
    <w:multiLevelType w:val="singleLevel"/>
    <w:tmpl w:val="41743F47"/>
    <w:lvl w:ilvl="0" w:tentative="0">
      <w:start w:val="2"/>
      <w:numFmt w:val="chineseCounting"/>
      <w:suff w:val="nothing"/>
      <w:lvlText w:val="（%1）"/>
      <w:lvlJc w:val="left"/>
      <w:pPr>
        <w:ind w:left="560" w:leftChars="0" w:firstLine="0" w:firstLineChars="0"/>
      </w:pPr>
      <w:rPr>
        <w:rFonts w:hint="eastAsia"/>
      </w:rPr>
    </w:lvl>
  </w:abstractNum>
  <w:abstractNum w:abstractNumId="5">
    <w:nsid w:val="7E050B2D"/>
    <w:multiLevelType w:val="singleLevel"/>
    <w:tmpl w:val="7E050B2D"/>
    <w:lvl w:ilvl="0" w:tentative="0">
      <w:start w:val="2"/>
      <w:numFmt w:val="decimal"/>
      <w:suff w:val="nothing"/>
      <w:lvlText w:val="%1、"/>
      <w:lvlJc w:val="left"/>
      <w:rPr>
        <w:rFonts w:hint="default"/>
        <w:b/>
        <w:bCs/>
      </w:r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MmU3NmE5YmMzZDVhY2ViNzE3Y2E1MjIxYjI5OTAifQ=="/>
  </w:docVars>
  <w:rsids>
    <w:rsidRoot w:val="007E7EF4"/>
    <w:rsid w:val="00001BAD"/>
    <w:rsid w:val="00002DD4"/>
    <w:rsid w:val="000061D5"/>
    <w:rsid w:val="00014334"/>
    <w:rsid w:val="000147E3"/>
    <w:rsid w:val="000151F4"/>
    <w:rsid w:val="00015653"/>
    <w:rsid w:val="0001616A"/>
    <w:rsid w:val="00016D4D"/>
    <w:rsid w:val="00017C53"/>
    <w:rsid w:val="00020C6B"/>
    <w:rsid w:val="00027D64"/>
    <w:rsid w:val="00030D88"/>
    <w:rsid w:val="00031596"/>
    <w:rsid w:val="0003454F"/>
    <w:rsid w:val="00036DED"/>
    <w:rsid w:val="00040F19"/>
    <w:rsid w:val="00042217"/>
    <w:rsid w:val="00042297"/>
    <w:rsid w:val="00043444"/>
    <w:rsid w:val="0004445F"/>
    <w:rsid w:val="000451C3"/>
    <w:rsid w:val="00052F5B"/>
    <w:rsid w:val="0005325E"/>
    <w:rsid w:val="00054F53"/>
    <w:rsid w:val="000601D9"/>
    <w:rsid w:val="0006024F"/>
    <w:rsid w:val="00060A3F"/>
    <w:rsid w:val="00063E36"/>
    <w:rsid w:val="00064CFE"/>
    <w:rsid w:val="00065042"/>
    <w:rsid w:val="000676E1"/>
    <w:rsid w:val="000719AB"/>
    <w:rsid w:val="00072A52"/>
    <w:rsid w:val="00072DBD"/>
    <w:rsid w:val="000736A5"/>
    <w:rsid w:val="00074978"/>
    <w:rsid w:val="000754E9"/>
    <w:rsid w:val="000778D0"/>
    <w:rsid w:val="00077D3E"/>
    <w:rsid w:val="00083D09"/>
    <w:rsid w:val="00083F35"/>
    <w:rsid w:val="00084EBA"/>
    <w:rsid w:val="00085369"/>
    <w:rsid w:val="00087680"/>
    <w:rsid w:val="00090B0B"/>
    <w:rsid w:val="00091E62"/>
    <w:rsid w:val="00095994"/>
    <w:rsid w:val="00095B6D"/>
    <w:rsid w:val="000A0066"/>
    <w:rsid w:val="000A0B91"/>
    <w:rsid w:val="000A12C9"/>
    <w:rsid w:val="000A20CF"/>
    <w:rsid w:val="000A2820"/>
    <w:rsid w:val="000A49CB"/>
    <w:rsid w:val="000A5245"/>
    <w:rsid w:val="000A7ED2"/>
    <w:rsid w:val="000B244E"/>
    <w:rsid w:val="000B25B0"/>
    <w:rsid w:val="000B4F32"/>
    <w:rsid w:val="000B66CF"/>
    <w:rsid w:val="000C0761"/>
    <w:rsid w:val="000C5D38"/>
    <w:rsid w:val="000C6808"/>
    <w:rsid w:val="000C74F8"/>
    <w:rsid w:val="000D408B"/>
    <w:rsid w:val="000D4AC5"/>
    <w:rsid w:val="000D4B6D"/>
    <w:rsid w:val="000D5676"/>
    <w:rsid w:val="000D6B91"/>
    <w:rsid w:val="000E0157"/>
    <w:rsid w:val="000E1BB8"/>
    <w:rsid w:val="000E2663"/>
    <w:rsid w:val="000E26AD"/>
    <w:rsid w:val="000E3503"/>
    <w:rsid w:val="000E36B6"/>
    <w:rsid w:val="000E4D57"/>
    <w:rsid w:val="000E65BF"/>
    <w:rsid w:val="000F4F7F"/>
    <w:rsid w:val="000F768C"/>
    <w:rsid w:val="000F7FCD"/>
    <w:rsid w:val="00101D97"/>
    <w:rsid w:val="00102774"/>
    <w:rsid w:val="001116C7"/>
    <w:rsid w:val="00111AA7"/>
    <w:rsid w:val="00113671"/>
    <w:rsid w:val="00114E83"/>
    <w:rsid w:val="00117206"/>
    <w:rsid w:val="001179BA"/>
    <w:rsid w:val="001238C5"/>
    <w:rsid w:val="00123BAA"/>
    <w:rsid w:val="001247BA"/>
    <w:rsid w:val="001249FB"/>
    <w:rsid w:val="00124CF2"/>
    <w:rsid w:val="00124FA6"/>
    <w:rsid w:val="00126A28"/>
    <w:rsid w:val="00130473"/>
    <w:rsid w:val="00134047"/>
    <w:rsid w:val="0013468E"/>
    <w:rsid w:val="001347E6"/>
    <w:rsid w:val="001351A7"/>
    <w:rsid w:val="00135587"/>
    <w:rsid w:val="001359EC"/>
    <w:rsid w:val="00135D15"/>
    <w:rsid w:val="0013658E"/>
    <w:rsid w:val="001402A6"/>
    <w:rsid w:val="00143293"/>
    <w:rsid w:val="00144354"/>
    <w:rsid w:val="00150D7C"/>
    <w:rsid w:val="00151A1C"/>
    <w:rsid w:val="00161589"/>
    <w:rsid w:val="00161A69"/>
    <w:rsid w:val="001650C6"/>
    <w:rsid w:val="00166DC6"/>
    <w:rsid w:val="00174AB0"/>
    <w:rsid w:val="001830FA"/>
    <w:rsid w:val="00185A13"/>
    <w:rsid w:val="00185E10"/>
    <w:rsid w:val="00186338"/>
    <w:rsid w:val="00190E19"/>
    <w:rsid w:val="00194128"/>
    <w:rsid w:val="00195428"/>
    <w:rsid w:val="00195C89"/>
    <w:rsid w:val="00195FA3"/>
    <w:rsid w:val="00196C53"/>
    <w:rsid w:val="00197865"/>
    <w:rsid w:val="001A31B9"/>
    <w:rsid w:val="001A4269"/>
    <w:rsid w:val="001A44F4"/>
    <w:rsid w:val="001A45C6"/>
    <w:rsid w:val="001A4E86"/>
    <w:rsid w:val="001A6CD0"/>
    <w:rsid w:val="001B11C3"/>
    <w:rsid w:val="001B121A"/>
    <w:rsid w:val="001B16D8"/>
    <w:rsid w:val="001B4858"/>
    <w:rsid w:val="001C0537"/>
    <w:rsid w:val="001C255F"/>
    <w:rsid w:val="001C3D2E"/>
    <w:rsid w:val="001C53CA"/>
    <w:rsid w:val="001C7E4E"/>
    <w:rsid w:val="001D004C"/>
    <w:rsid w:val="001D2B9F"/>
    <w:rsid w:val="001D5DF3"/>
    <w:rsid w:val="001D7558"/>
    <w:rsid w:val="001E1C3B"/>
    <w:rsid w:val="001E2C7B"/>
    <w:rsid w:val="001E3282"/>
    <w:rsid w:val="001E4920"/>
    <w:rsid w:val="001F060C"/>
    <w:rsid w:val="001F0BD4"/>
    <w:rsid w:val="001F2519"/>
    <w:rsid w:val="001F43C4"/>
    <w:rsid w:val="00205E83"/>
    <w:rsid w:val="00212494"/>
    <w:rsid w:val="0021466E"/>
    <w:rsid w:val="00214CA0"/>
    <w:rsid w:val="0021508F"/>
    <w:rsid w:val="00216545"/>
    <w:rsid w:val="002241B3"/>
    <w:rsid w:val="0022679A"/>
    <w:rsid w:val="00226B1C"/>
    <w:rsid w:val="0023056B"/>
    <w:rsid w:val="00230688"/>
    <w:rsid w:val="002312B9"/>
    <w:rsid w:val="0023131C"/>
    <w:rsid w:val="0023705F"/>
    <w:rsid w:val="00240A68"/>
    <w:rsid w:val="002420EF"/>
    <w:rsid w:val="00242E01"/>
    <w:rsid w:val="00251BF2"/>
    <w:rsid w:val="00252FAB"/>
    <w:rsid w:val="00254EBC"/>
    <w:rsid w:val="00255562"/>
    <w:rsid w:val="00260FDC"/>
    <w:rsid w:val="002613CA"/>
    <w:rsid w:val="002614FE"/>
    <w:rsid w:val="00262111"/>
    <w:rsid w:val="0026292E"/>
    <w:rsid w:val="00264E02"/>
    <w:rsid w:val="00266F31"/>
    <w:rsid w:val="00267091"/>
    <w:rsid w:val="002708BA"/>
    <w:rsid w:val="00270B2A"/>
    <w:rsid w:val="00272D94"/>
    <w:rsid w:val="0028464C"/>
    <w:rsid w:val="00284A29"/>
    <w:rsid w:val="00286A5E"/>
    <w:rsid w:val="002905B6"/>
    <w:rsid w:val="00290B1B"/>
    <w:rsid w:val="00290E2C"/>
    <w:rsid w:val="0029121B"/>
    <w:rsid w:val="00291F2F"/>
    <w:rsid w:val="00295562"/>
    <w:rsid w:val="00296C9D"/>
    <w:rsid w:val="00297773"/>
    <w:rsid w:val="002A03FD"/>
    <w:rsid w:val="002A1E8B"/>
    <w:rsid w:val="002A312E"/>
    <w:rsid w:val="002B1906"/>
    <w:rsid w:val="002B2778"/>
    <w:rsid w:val="002B462E"/>
    <w:rsid w:val="002B5197"/>
    <w:rsid w:val="002B5211"/>
    <w:rsid w:val="002B5EC8"/>
    <w:rsid w:val="002B6001"/>
    <w:rsid w:val="002B61E2"/>
    <w:rsid w:val="002B7E7E"/>
    <w:rsid w:val="002C030D"/>
    <w:rsid w:val="002C2728"/>
    <w:rsid w:val="002C3CE5"/>
    <w:rsid w:val="002C70A5"/>
    <w:rsid w:val="002C77AC"/>
    <w:rsid w:val="002D0239"/>
    <w:rsid w:val="002D1F1B"/>
    <w:rsid w:val="002D2AAD"/>
    <w:rsid w:val="002D3867"/>
    <w:rsid w:val="002D4271"/>
    <w:rsid w:val="002D4881"/>
    <w:rsid w:val="002D4F36"/>
    <w:rsid w:val="002D7D48"/>
    <w:rsid w:val="002E017E"/>
    <w:rsid w:val="002E44E3"/>
    <w:rsid w:val="002E4D2D"/>
    <w:rsid w:val="002E5BA1"/>
    <w:rsid w:val="002E6134"/>
    <w:rsid w:val="002F009F"/>
    <w:rsid w:val="002F362D"/>
    <w:rsid w:val="002F3A1F"/>
    <w:rsid w:val="002F3DDB"/>
    <w:rsid w:val="002F4045"/>
    <w:rsid w:val="002F6539"/>
    <w:rsid w:val="002F75AF"/>
    <w:rsid w:val="00300F25"/>
    <w:rsid w:val="003018D7"/>
    <w:rsid w:val="0030374E"/>
    <w:rsid w:val="00303AE3"/>
    <w:rsid w:val="00305058"/>
    <w:rsid w:val="00306D0B"/>
    <w:rsid w:val="00310019"/>
    <w:rsid w:val="00310245"/>
    <w:rsid w:val="003102A8"/>
    <w:rsid w:val="00312E58"/>
    <w:rsid w:val="00313AC0"/>
    <w:rsid w:val="00314EF2"/>
    <w:rsid w:val="00323C7A"/>
    <w:rsid w:val="0032454A"/>
    <w:rsid w:val="00334AD5"/>
    <w:rsid w:val="0033567F"/>
    <w:rsid w:val="00335853"/>
    <w:rsid w:val="003412B1"/>
    <w:rsid w:val="0034156D"/>
    <w:rsid w:val="00342C9D"/>
    <w:rsid w:val="00346453"/>
    <w:rsid w:val="0034781A"/>
    <w:rsid w:val="00350973"/>
    <w:rsid w:val="00351268"/>
    <w:rsid w:val="0035267C"/>
    <w:rsid w:val="003562DD"/>
    <w:rsid w:val="00356623"/>
    <w:rsid w:val="00361B3B"/>
    <w:rsid w:val="00364651"/>
    <w:rsid w:val="00367DE7"/>
    <w:rsid w:val="0037056E"/>
    <w:rsid w:val="00370AD1"/>
    <w:rsid w:val="003718E3"/>
    <w:rsid w:val="0037337E"/>
    <w:rsid w:val="0037345A"/>
    <w:rsid w:val="00374E22"/>
    <w:rsid w:val="00375F24"/>
    <w:rsid w:val="003764B7"/>
    <w:rsid w:val="00376B82"/>
    <w:rsid w:val="00377A93"/>
    <w:rsid w:val="00381E81"/>
    <w:rsid w:val="003832D8"/>
    <w:rsid w:val="00384BAC"/>
    <w:rsid w:val="00392417"/>
    <w:rsid w:val="00394F77"/>
    <w:rsid w:val="00397B02"/>
    <w:rsid w:val="00397B18"/>
    <w:rsid w:val="003A021A"/>
    <w:rsid w:val="003A041B"/>
    <w:rsid w:val="003A2E4D"/>
    <w:rsid w:val="003A37F4"/>
    <w:rsid w:val="003A472B"/>
    <w:rsid w:val="003A774B"/>
    <w:rsid w:val="003C0AF9"/>
    <w:rsid w:val="003C1408"/>
    <w:rsid w:val="003C3ADC"/>
    <w:rsid w:val="003C6C53"/>
    <w:rsid w:val="003C7220"/>
    <w:rsid w:val="003D03E6"/>
    <w:rsid w:val="003D1AA0"/>
    <w:rsid w:val="003D1DE6"/>
    <w:rsid w:val="003D33DE"/>
    <w:rsid w:val="003D393F"/>
    <w:rsid w:val="003D3981"/>
    <w:rsid w:val="003D61B7"/>
    <w:rsid w:val="003E2CB1"/>
    <w:rsid w:val="003E4AD2"/>
    <w:rsid w:val="003E5356"/>
    <w:rsid w:val="003E5761"/>
    <w:rsid w:val="003E6053"/>
    <w:rsid w:val="003F01CA"/>
    <w:rsid w:val="003F35BE"/>
    <w:rsid w:val="003F44F3"/>
    <w:rsid w:val="003F6AE8"/>
    <w:rsid w:val="0040060E"/>
    <w:rsid w:val="004008FA"/>
    <w:rsid w:val="00401491"/>
    <w:rsid w:val="00403DAF"/>
    <w:rsid w:val="00407AFC"/>
    <w:rsid w:val="00411875"/>
    <w:rsid w:val="00411CBA"/>
    <w:rsid w:val="0041266E"/>
    <w:rsid w:val="00412ECC"/>
    <w:rsid w:val="00413CCB"/>
    <w:rsid w:val="00414491"/>
    <w:rsid w:val="00415E5C"/>
    <w:rsid w:val="004228EF"/>
    <w:rsid w:val="0042334E"/>
    <w:rsid w:val="0042528E"/>
    <w:rsid w:val="004266B0"/>
    <w:rsid w:val="00427C5F"/>
    <w:rsid w:val="0043028A"/>
    <w:rsid w:val="00430CCA"/>
    <w:rsid w:val="004310A0"/>
    <w:rsid w:val="004310E3"/>
    <w:rsid w:val="00431835"/>
    <w:rsid w:val="004321F7"/>
    <w:rsid w:val="004335F1"/>
    <w:rsid w:val="004349B1"/>
    <w:rsid w:val="00436962"/>
    <w:rsid w:val="00437418"/>
    <w:rsid w:val="00437431"/>
    <w:rsid w:val="00440384"/>
    <w:rsid w:val="00440DE0"/>
    <w:rsid w:val="0044195D"/>
    <w:rsid w:val="00444E83"/>
    <w:rsid w:val="00447AB9"/>
    <w:rsid w:val="00450108"/>
    <w:rsid w:val="0045097D"/>
    <w:rsid w:val="00451A50"/>
    <w:rsid w:val="00452662"/>
    <w:rsid w:val="004559C2"/>
    <w:rsid w:val="00456249"/>
    <w:rsid w:val="0045674E"/>
    <w:rsid w:val="00456F5D"/>
    <w:rsid w:val="00460D68"/>
    <w:rsid w:val="00460E31"/>
    <w:rsid w:val="00466526"/>
    <w:rsid w:val="004731D7"/>
    <w:rsid w:val="004763AF"/>
    <w:rsid w:val="004765AA"/>
    <w:rsid w:val="004768D6"/>
    <w:rsid w:val="0047690D"/>
    <w:rsid w:val="0048138E"/>
    <w:rsid w:val="00483999"/>
    <w:rsid w:val="0048731E"/>
    <w:rsid w:val="00491186"/>
    <w:rsid w:val="004920F4"/>
    <w:rsid w:val="00492B45"/>
    <w:rsid w:val="004A047D"/>
    <w:rsid w:val="004A19E8"/>
    <w:rsid w:val="004A1CA0"/>
    <w:rsid w:val="004A30CA"/>
    <w:rsid w:val="004A3AB5"/>
    <w:rsid w:val="004A3B58"/>
    <w:rsid w:val="004A42CE"/>
    <w:rsid w:val="004B29B2"/>
    <w:rsid w:val="004B3EA3"/>
    <w:rsid w:val="004B55F0"/>
    <w:rsid w:val="004B5EC8"/>
    <w:rsid w:val="004B603D"/>
    <w:rsid w:val="004B6C56"/>
    <w:rsid w:val="004C28DA"/>
    <w:rsid w:val="004C2B53"/>
    <w:rsid w:val="004C5E83"/>
    <w:rsid w:val="004D131F"/>
    <w:rsid w:val="004D2464"/>
    <w:rsid w:val="004E224E"/>
    <w:rsid w:val="004E2BA4"/>
    <w:rsid w:val="004E2C38"/>
    <w:rsid w:val="004E3D79"/>
    <w:rsid w:val="004E484D"/>
    <w:rsid w:val="004F1B2A"/>
    <w:rsid w:val="004F20A1"/>
    <w:rsid w:val="004F28DA"/>
    <w:rsid w:val="004F32C2"/>
    <w:rsid w:val="00501C64"/>
    <w:rsid w:val="00503EFA"/>
    <w:rsid w:val="00505DD0"/>
    <w:rsid w:val="0050613A"/>
    <w:rsid w:val="005109E6"/>
    <w:rsid w:val="00511D0B"/>
    <w:rsid w:val="005130E0"/>
    <w:rsid w:val="00514636"/>
    <w:rsid w:val="005163E4"/>
    <w:rsid w:val="00520B2E"/>
    <w:rsid w:val="00521853"/>
    <w:rsid w:val="00522B73"/>
    <w:rsid w:val="0052472D"/>
    <w:rsid w:val="0052616D"/>
    <w:rsid w:val="0053029D"/>
    <w:rsid w:val="00535446"/>
    <w:rsid w:val="00536D9B"/>
    <w:rsid w:val="00540291"/>
    <w:rsid w:val="00540911"/>
    <w:rsid w:val="00543060"/>
    <w:rsid w:val="00543851"/>
    <w:rsid w:val="00543890"/>
    <w:rsid w:val="005464E6"/>
    <w:rsid w:val="00546639"/>
    <w:rsid w:val="005541BA"/>
    <w:rsid w:val="00554A23"/>
    <w:rsid w:val="00557C71"/>
    <w:rsid w:val="0056561F"/>
    <w:rsid w:val="00567804"/>
    <w:rsid w:val="00574F54"/>
    <w:rsid w:val="00577F98"/>
    <w:rsid w:val="005816D9"/>
    <w:rsid w:val="005917CA"/>
    <w:rsid w:val="00592A06"/>
    <w:rsid w:val="00593540"/>
    <w:rsid w:val="0059541B"/>
    <w:rsid w:val="00595C76"/>
    <w:rsid w:val="005962BF"/>
    <w:rsid w:val="005978A3"/>
    <w:rsid w:val="005A43C8"/>
    <w:rsid w:val="005A5E89"/>
    <w:rsid w:val="005A664B"/>
    <w:rsid w:val="005B11EF"/>
    <w:rsid w:val="005B45B9"/>
    <w:rsid w:val="005B4FC1"/>
    <w:rsid w:val="005B5639"/>
    <w:rsid w:val="005B56FD"/>
    <w:rsid w:val="005B594C"/>
    <w:rsid w:val="005B78F5"/>
    <w:rsid w:val="005C1D29"/>
    <w:rsid w:val="005C1DE1"/>
    <w:rsid w:val="005C242E"/>
    <w:rsid w:val="005C5631"/>
    <w:rsid w:val="005C6146"/>
    <w:rsid w:val="005C6390"/>
    <w:rsid w:val="005C7AE0"/>
    <w:rsid w:val="005D0375"/>
    <w:rsid w:val="005D08F3"/>
    <w:rsid w:val="005D4F4C"/>
    <w:rsid w:val="005D6222"/>
    <w:rsid w:val="005D674E"/>
    <w:rsid w:val="005D6D99"/>
    <w:rsid w:val="005D6FCD"/>
    <w:rsid w:val="005E1405"/>
    <w:rsid w:val="005E1824"/>
    <w:rsid w:val="005E33CC"/>
    <w:rsid w:val="005E498E"/>
    <w:rsid w:val="005E55FF"/>
    <w:rsid w:val="005F190C"/>
    <w:rsid w:val="005F2872"/>
    <w:rsid w:val="005F3C2F"/>
    <w:rsid w:val="005F48DD"/>
    <w:rsid w:val="005F4BD5"/>
    <w:rsid w:val="006002B2"/>
    <w:rsid w:val="00601164"/>
    <w:rsid w:val="006119A3"/>
    <w:rsid w:val="00613579"/>
    <w:rsid w:val="00615657"/>
    <w:rsid w:val="00620155"/>
    <w:rsid w:val="0063691A"/>
    <w:rsid w:val="00637427"/>
    <w:rsid w:val="00644C8F"/>
    <w:rsid w:val="00644E4A"/>
    <w:rsid w:val="006455E7"/>
    <w:rsid w:val="00647186"/>
    <w:rsid w:val="0065138E"/>
    <w:rsid w:val="006525D5"/>
    <w:rsid w:val="00652654"/>
    <w:rsid w:val="00653F24"/>
    <w:rsid w:val="006558AD"/>
    <w:rsid w:val="00656896"/>
    <w:rsid w:val="006574D6"/>
    <w:rsid w:val="006578B7"/>
    <w:rsid w:val="00661E4B"/>
    <w:rsid w:val="006658D9"/>
    <w:rsid w:val="0067309A"/>
    <w:rsid w:val="00673AAC"/>
    <w:rsid w:val="0067640A"/>
    <w:rsid w:val="00676996"/>
    <w:rsid w:val="00676B86"/>
    <w:rsid w:val="006775E4"/>
    <w:rsid w:val="00680415"/>
    <w:rsid w:val="00680BF4"/>
    <w:rsid w:val="006864DF"/>
    <w:rsid w:val="0069154F"/>
    <w:rsid w:val="00691D57"/>
    <w:rsid w:val="00691E60"/>
    <w:rsid w:val="00693363"/>
    <w:rsid w:val="006937FC"/>
    <w:rsid w:val="006969F7"/>
    <w:rsid w:val="006A458D"/>
    <w:rsid w:val="006A5EA4"/>
    <w:rsid w:val="006A7713"/>
    <w:rsid w:val="006A7E2A"/>
    <w:rsid w:val="006B3503"/>
    <w:rsid w:val="006B4076"/>
    <w:rsid w:val="006B48FC"/>
    <w:rsid w:val="006B68C4"/>
    <w:rsid w:val="006C02DB"/>
    <w:rsid w:val="006C326A"/>
    <w:rsid w:val="006C3A1D"/>
    <w:rsid w:val="006C489E"/>
    <w:rsid w:val="006C4DA9"/>
    <w:rsid w:val="006C4FC5"/>
    <w:rsid w:val="006C570A"/>
    <w:rsid w:val="006D6B79"/>
    <w:rsid w:val="006D7829"/>
    <w:rsid w:val="006E30ED"/>
    <w:rsid w:val="006E3982"/>
    <w:rsid w:val="006E44B1"/>
    <w:rsid w:val="006E46B2"/>
    <w:rsid w:val="006E4788"/>
    <w:rsid w:val="006E4A63"/>
    <w:rsid w:val="006E6187"/>
    <w:rsid w:val="006E7F58"/>
    <w:rsid w:val="006F07BF"/>
    <w:rsid w:val="006F07CD"/>
    <w:rsid w:val="006F26C1"/>
    <w:rsid w:val="006F2972"/>
    <w:rsid w:val="006F3F0F"/>
    <w:rsid w:val="006F56F1"/>
    <w:rsid w:val="006F689B"/>
    <w:rsid w:val="007070E8"/>
    <w:rsid w:val="0070749C"/>
    <w:rsid w:val="00711516"/>
    <w:rsid w:val="00711A84"/>
    <w:rsid w:val="0071339C"/>
    <w:rsid w:val="00714E81"/>
    <w:rsid w:val="007171C2"/>
    <w:rsid w:val="007171FF"/>
    <w:rsid w:val="007178A9"/>
    <w:rsid w:val="007178DE"/>
    <w:rsid w:val="0072113D"/>
    <w:rsid w:val="00722435"/>
    <w:rsid w:val="0072281C"/>
    <w:rsid w:val="007234B5"/>
    <w:rsid w:val="0072368F"/>
    <w:rsid w:val="007253E3"/>
    <w:rsid w:val="0072645B"/>
    <w:rsid w:val="00726DC4"/>
    <w:rsid w:val="0073095D"/>
    <w:rsid w:val="00734DED"/>
    <w:rsid w:val="007357D8"/>
    <w:rsid w:val="00737C0C"/>
    <w:rsid w:val="00741A58"/>
    <w:rsid w:val="00742CF1"/>
    <w:rsid w:val="0074412F"/>
    <w:rsid w:val="007449F2"/>
    <w:rsid w:val="007535A1"/>
    <w:rsid w:val="00754171"/>
    <w:rsid w:val="0075438D"/>
    <w:rsid w:val="00756F1A"/>
    <w:rsid w:val="00762AEF"/>
    <w:rsid w:val="00764A0B"/>
    <w:rsid w:val="00765FB0"/>
    <w:rsid w:val="00767936"/>
    <w:rsid w:val="00770F53"/>
    <w:rsid w:val="0077172E"/>
    <w:rsid w:val="007767FC"/>
    <w:rsid w:val="0078032F"/>
    <w:rsid w:val="00780D8A"/>
    <w:rsid w:val="007819D0"/>
    <w:rsid w:val="00784C2E"/>
    <w:rsid w:val="00785EBE"/>
    <w:rsid w:val="0079371C"/>
    <w:rsid w:val="00793BAB"/>
    <w:rsid w:val="00796B0C"/>
    <w:rsid w:val="007A06F5"/>
    <w:rsid w:val="007A0C41"/>
    <w:rsid w:val="007A1515"/>
    <w:rsid w:val="007A21D3"/>
    <w:rsid w:val="007B0D50"/>
    <w:rsid w:val="007B1EB7"/>
    <w:rsid w:val="007B4B6C"/>
    <w:rsid w:val="007B4CD4"/>
    <w:rsid w:val="007B542D"/>
    <w:rsid w:val="007B5DB6"/>
    <w:rsid w:val="007B606E"/>
    <w:rsid w:val="007C2302"/>
    <w:rsid w:val="007C3931"/>
    <w:rsid w:val="007C3C20"/>
    <w:rsid w:val="007C7FCD"/>
    <w:rsid w:val="007D0147"/>
    <w:rsid w:val="007D0FA1"/>
    <w:rsid w:val="007D4B19"/>
    <w:rsid w:val="007D73AB"/>
    <w:rsid w:val="007D792F"/>
    <w:rsid w:val="007D7B20"/>
    <w:rsid w:val="007E011B"/>
    <w:rsid w:val="007E3224"/>
    <w:rsid w:val="007E3AC7"/>
    <w:rsid w:val="007E4D98"/>
    <w:rsid w:val="007E68DF"/>
    <w:rsid w:val="007E7553"/>
    <w:rsid w:val="007E7EF4"/>
    <w:rsid w:val="007F07AA"/>
    <w:rsid w:val="007F46CE"/>
    <w:rsid w:val="007F4CC9"/>
    <w:rsid w:val="007F63EB"/>
    <w:rsid w:val="007F65CB"/>
    <w:rsid w:val="00802352"/>
    <w:rsid w:val="00802491"/>
    <w:rsid w:val="0080379C"/>
    <w:rsid w:val="0080645D"/>
    <w:rsid w:val="00806E85"/>
    <w:rsid w:val="00807A19"/>
    <w:rsid w:val="00813DCB"/>
    <w:rsid w:val="00814890"/>
    <w:rsid w:val="00816A7E"/>
    <w:rsid w:val="0082537A"/>
    <w:rsid w:val="008264C4"/>
    <w:rsid w:val="008303AD"/>
    <w:rsid w:val="0083216E"/>
    <w:rsid w:val="008431DD"/>
    <w:rsid w:val="00843585"/>
    <w:rsid w:val="0084473F"/>
    <w:rsid w:val="008476B0"/>
    <w:rsid w:val="00850429"/>
    <w:rsid w:val="008506F1"/>
    <w:rsid w:val="0085160A"/>
    <w:rsid w:val="00852202"/>
    <w:rsid w:val="008526D2"/>
    <w:rsid w:val="00852F4C"/>
    <w:rsid w:val="00853F64"/>
    <w:rsid w:val="00854107"/>
    <w:rsid w:val="008545B2"/>
    <w:rsid w:val="008578D9"/>
    <w:rsid w:val="0086063D"/>
    <w:rsid w:val="008607BB"/>
    <w:rsid w:val="00862303"/>
    <w:rsid w:val="0086245F"/>
    <w:rsid w:val="00862BED"/>
    <w:rsid w:val="00864376"/>
    <w:rsid w:val="008655B9"/>
    <w:rsid w:val="0087549B"/>
    <w:rsid w:val="00877636"/>
    <w:rsid w:val="00880AD2"/>
    <w:rsid w:val="00882153"/>
    <w:rsid w:val="008846AA"/>
    <w:rsid w:val="00886486"/>
    <w:rsid w:val="0089292F"/>
    <w:rsid w:val="00895BAF"/>
    <w:rsid w:val="00897D90"/>
    <w:rsid w:val="008A0DE7"/>
    <w:rsid w:val="008A1CB8"/>
    <w:rsid w:val="008A2D37"/>
    <w:rsid w:val="008A3A7C"/>
    <w:rsid w:val="008A3FDB"/>
    <w:rsid w:val="008A53CE"/>
    <w:rsid w:val="008A7862"/>
    <w:rsid w:val="008B17C8"/>
    <w:rsid w:val="008B710F"/>
    <w:rsid w:val="008C0890"/>
    <w:rsid w:val="008C39F2"/>
    <w:rsid w:val="008C64C5"/>
    <w:rsid w:val="008C6719"/>
    <w:rsid w:val="008C72E9"/>
    <w:rsid w:val="008C7A03"/>
    <w:rsid w:val="008D1006"/>
    <w:rsid w:val="008D506D"/>
    <w:rsid w:val="008D5E3B"/>
    <w:rsid w:val="008D67AF"/>
    <w:rsid w:val="008E03E5"/>
    <w:rsid w:val="008E0C43"/>
    <w:rsid w:val="008E141A"/>
    <w:rsid w:val="008E2454"/>
    <w:rsid w:val="008E4EF4"/>
    <w:rsid w:val="008E53CE"/>
    <w:rsid w:val="008F01EC"/>
    <w:rsid w:val="008F3384"/>
    <w:rsid w:val="008F53D7"/>
    <w:rsid w:val="0090024A"/>
    <w:rsid w:val="00906B78"/>
    <w:rsid w:val="009106DF"/>
    <w:rsid w:val="009127C1"/>
    <w:rsid w:val="00913553"/>
    <w:rsid w:val="00913B59"/>
    <w:rsid w:val="0091448A"/>
    <w:rsid w:val="00915D2F"/>
    <w:rsid w:val="009218F1"/>
    <w:rsid w:val="009225F4"/>
    <w:rsid w:val="00922D6C"/>
    <w:rsid w:val="00934C77"/>
    <w:rsid w:val="009361F9"/>
    <w:rsid w:val="009371AB"/>
    <w:rsid w:val="009407F3"/>
    <w:rsid w:val="009472A2"/>
    <w:rsid w:val="00951857"/>
    <w:rsid w:val="009519D8"/>
    <w:rsid w:val="00952ECD"/>
    <w:rsid w:val="00957990"/>
    <w:rsid w:val="00960C74"/>
    <w:rsid w:val="0096169F"/>
    <w:rsid w:val="0096191D"/>
    <w:rsid w:val="00962525"/>
    <w:rsid w:val="00962FC1"/>
    <w:rsid w:val="00964951"/>
    <w:rsid w:val="00967080"/>
    <w:rsid w:val="00970D78"/>
    <w:rsid w:val="00973EA2"/>
    <w:rsid w:val="00974698"/>
    <w:rsid w:val="009777D9"/>
    <w:rsid w:val="00977FCA"/>
    <w:rsid w:val="00980FB6"/>
    <w:rsid w:val="00982021"/>
    <w:rsid w:val="00985847"/>
    <w:rsid w:val="00985DF2"/>
    <w:rsid w:val="009932E2"/>
    <w:rsid w:val="00994244"/>
    <w:rsid w:val="009A003A"/>
    <w:rsid w:val="009A1279"/>
    <w:rsid w:val="009A170A"/>
    <w:rsid w:val="009A1A3D"/>
    <w:rsid w:val="009A33B4"/>
    <w:rsid w:val="009A3F55"/>
    <w:rsid w:val="009A7FE9"/>
    <w:rsid w:val="009B39D5"/>
    <w:rsid w:val="009B4960"/>
    <w:rsid w:val="009B5B00"/>
    <w:rsid w:val="009B5FBA"/>
    <w:rsid w:val="009B68DD"/>
    <w:rsid w:val="009B6A4D"/>
    <w:rsid w:val="009B73F5"/>
    <w:rsid w:val="009B74A2"/>
    <w:rsid w:val="009C0984"/>
    <w:rsid w:val="009C0F5B"/>
    <w:rsid w:val="009C0FE7"/>
    <w:rsid w:val="009C1C8B"/>
    <w:rsid w:val="009C2DE8"/>
    <w:rsid w:val="009C3E75"/>
    <w:rsid w:val="009C6FFC"/>
    <w:rsid w:val="009C73AA"/>
    <w:rsid w:val="009D05F2"/>
    <w:rsid w:val="009D1561"/>
    <w:rsid w:val="009D2E70"/>
    <w:rsid w:val="009D50CC"/>
    <w:rsid w:val="009D5450"/>
    <w:rsid w:val="009D591C"/>
    <w:rsid w:val="009D7263"/>
    <w:rsid w:val="009E0CE9"/>
    <w:rsid w:val="009E4761"/>
    <w:rsid w:val="009E5352"/>
    <w:rsid w:val="009E5B26"/>
    <w:rsid w:val="009F04CE"/>
    <w:rsid w:val="009F1F60"/>
    <w:rsid w:val="009F2C6C"/>
    <w:rsid w:val="009F579D"/>
    <w:rsid w:val="009F7939"/>
    <w:rsid w:val="00A04850"/>
    <w:rsid w:val="00A10504"/>
    <w:rsid w:val="00A149AA"/>
    <w:rsid w:val="00A14E2F"/>
    <w:rsid w:val="00A15A68"/>
    <w:rsid w:val="00A16BE5"/>
    <w:rsid w:val="00A174D8"/>
    <w:rsid w:val="00A23313"/>
    <w:rsid w:val="00A269AF"/>
    <w:rsid w:val="00A31BFE"/>
    <w:rsid w:val="00A3575A"/>
    <w:rsid w:val="00A36586"/>
    <w:rsid w:val="00A4045C"/>
    <w:rsid w:val="00A41E59"/>
    <w:rsid w:val="00A42877"/>
    <w:rsid w:val="00A42E19"/>
    <w:rsid w:val="00A46211"/>
    <w:rsid w:val="00A46483"/>
    <w:rsid w:val="00A4760A"/>
    <w:rsid w:val="00A504A6"/>
    <w:rsid w:val="00A50CA0"/>
    <w:rsid w:val="00A568B4"/>
    <w:rsid w:val="00A5769F"/>
    <w:rsid w:val="00A615ED"/>
    <w:rsid w:val="00A61FB4"/>
    <w:rsid w:val="00A67E3A"/>
    <w:rsid w:val="00A71504"/>
    <w:rsid w:val="00A72BE6"/>
    <w:rsid w:val="00A73B07"/>
    <w:rsid w:val="00A75148"/>
    <w:rsid w:val="00A77378"/>
    <w:rsid w:val="00A825A9"/>
    <w:rsid w:val="00A8393D"/>
    <w:rsid w:val="00A84BEE"/>
    <w:rsid w:val="00A86B19"/>
    <w:rsid w:val="00A9196C"/>
    <w:rsid w:val="00A932E6"/>
    <w:rsid w:val="00AA033C"/>
    <w:rsid w:val="00AA13B9"/>
    <w:rsid w:val="00AA276A"/>
    <w:rsid w:val="00AB150B"/>
    <w:rsid w:val="00AB1D97"/>
    <w:rsid w:val="00AB5931"/>
    <w:rsid w:val="00AB5C06"/>
    <w:rsid w:val="00AB6D73"/>
    <w:rsid w:val="00AB7615"/>
    <w:rsid w:val="00AC55D8"/>
    <w:rsid w:val="00AC5848"/>
    <w:rsid w:val="00AC6C83"/>
    <w:rsid w:val="00AD2C64"/>
    <w:rsid w:val="00AD66BD"/>
    <w:rsid w:val="00AD7359"/>
    <w:rsid w:val="00AE1A49"/>
    <w:rsid w:val="00B00B29"/>
    <w:rsid w:val="00B00CAF"/>
    <w:rsid w:val="00B046B5"/>
    <w:rsid w:val="00B05362"/>
    <w:rsid w:val="00B07034"/>
    <w:rsid w:val="00B1489A"/>
    <w:rsid w:val="00B15B0D"/>
    <w:rsid w:val="00B21718"/>
    <w:rsid w:val="00B2220B"/>
    <w:rsid w:val="00B23A99"/>
    <w:rsid w:val="00B241B1"/>
    <w:rsid w:val="00B25519"/>
    <w:rsid w:val="00B26365"/>
    <w:rsid w:val="00B30623"/>
    <w:rsid w:val="00B35842"/>
    <w:rsid w:val="00B41657"/>
    <w:rsid w:val="00B41DBC"/>
    <w:rsid w:val="00B4212A"/>
    <w:rsid w:val="00B42297"/>
    <w:rsid w:val="00B42AD6"/>
    <w:rsid w:val="00B43F2B"/>
    <w:rsid w:val="00B46CE2"/>
    <w:rsid w:val="00B4757D"/>
    <w:rsid w:val="00B47C06"/>
    <w:rsid w:val="00B47F7C"/>
    <w:rsid w:val="00B50DBA"/>
    <w:rsid w:val="00B51C6A"/>
    <w:rsid w:val="00B527E8"/>
    <w:rsid w:val="00B55B2D"/>
    <w:rsid w:val="00B55D12"/>
    <w:rsid w:val="00B568F7"/>
    <w:rsid w:val="00B64D08"/>
    <w:rsid w:val="00B66A91"/>
    <w:rsid w:val="00B6710E"/>
    <w:rsid w:val="00B7160B"/>
    <w:rsid w:val="00B7160F"/>
    <w:rsid w:val="00B72089"/>
    <w:rsid w:val="00B74A32"/>
    <w:rsid w:val="00B74F91"/>
    <w:rsid w:val="00B752AC"/>
    <w:rsid w:val="00B75C27"/>
    <w:rsid w:val="00B82ED2"/>
    <w:rsid w:val="00B839E0"/>
    <w:rsid w:val="00B855FA"/>
    <w:rsid w:val="00B87509"/>
    <w:rsid w:val="00B91675"/>
    <w:rsid w:val="00B93684"/>
    <w:rsid w:val="00B9520A"/>
    <w:rsid w:val="00B96A4C"/>
    <w:rsid w:val="00B96E42"/>
    <w:rsid w:val="00BA113A"/>
    <w:rsid w:val="00BA39D5"/>
    <w:rsid w:val="00BA4A89"/>
    <w:rsid w:val="00BA4EC5"/>
    <w:rsid w:val="00BA7286"/>
    <w:rsid w:val="00BA790B"/>
    <w:rsid w:val="00BB0747"/>
    <w:rsid w:val="00BB1D8E"/>
    <w:rsid w:val="00BB269C"/>
    <w:rsid w:val="00BB2FCC"/>
    <w:rsid w:val="00BB3C02"/>
    <w:rsid w:val="00BB40B5"/>
    <w:rsid w:val="00BB5DFF"/>
    <w:rsid w:val="00BC149B"/>
    <w:rsid w:val="00BC1873"/>
    <w:rsid w:val="00BC19DF"/>
    <w:rsid w:val="00BC5794"/>
    <w:rsid w:val="00BC659F"/>
    <w:rsid w:val="00BD0DA3"/>
    <w:rsid w:val="00BD1819"/>
    <w:rsid w:val="00BD1C67"/>
    <w:rsid w:val="00BD21A5"/>
    <w:rsid w:val="00BD26CB"/>
    <w:rsid w:val="00BD4B9F"/>
    <w:rsid w:val="00BD558A"/>
    <w:rsid w:val="00BD642E"/>
    <w:rsid w:val="00BE2B5A"/>
    <w:rsid w:val="00BE5171"/>
    <w:rsid w:val="00BE6807"/>
    <w:rsid w:val="00BF1C5A"/>
    <w:rsid w:val="00BF2DE8"/>
    <w:rsid w:val="00BF5DBE"/>
    <w:rsid w:val="00C046E5"/>
    <w:rsid w:val="00C054B2"/>
    <w:rsid w:val="00C06D14"/>
    <w:rsid w:val="00C10289"/>
    <w:rsid w:val="00C10FC6"/>
    <w:rsid w:val="00C14CD6"/>
    <w:rsid w:val="00C16463"/>
    <w:rsid w:val="00C1692B"/>
    <w:rsid w:val="00C20BBC"/>
    <w:rsid w:val="00C21FA5"/>
    <w:rsid w:val="00C23A57"/>
    <w:rsid w:val="00C30FDE"/>
    <w:rsid w:val="00C31343"/>
    <w:rsid w:val="00C33AE1"/>
    <w:rsid w:val="00C345F6"/>
    <w:rsid w:val="00C375A3"/>
    <w:rsid w:val="00C4049B"/>
    <w:rsid w:val="00C40B03"/>
    <w:rsid w:val="00C41669"/>
    <w:rsid w:val="00C43B9F"/>
    <w:rsid w:val="00C44821"/>
    <w:rsid w:val="00C4600D"/>
    <w:rsid w:val="00C5155A"/>
    <w:rsid w:val="00C54481"/>
    <w:rsid w:val="00C5736C"/>
    <w:rsid w:val="00C65CB1"/>
    <w:rsid w:val="00C70C8B"/>
    <w:rsid w:val="00C739C2"/>
    <w:rsid w:val="00C77D26"/>
    <w:rsid w:val="00C804DB"/>
    <w:rsid w:val="00C818C8"/>
    <w:rsid w:val="00C86FAB"/>
    <w:rsid w:val="00C879DA"/>
    <w:rsid w:val="00C94451"/>
    <w:rsid w:val="00C9589D"/>
    <w:rsid w:val="00C95A5F"/>
    <w:rsid w:val="00CA19B6"/>
    <w:rsid w:val="00CA2FA0"/>
    <w:rsid w:val="00CA3E48"/>
    <w:rsid w:val="00CA4E23"/>
    <w:rsid w:val="00CA57FD"/>
    <w:rsid w:val="00CA7BA1"/>
    <w:rsid w:val="00CA7CAE"/>
    <w:rsid w:val="00CB259A"/>
    <w:rsid w:val="00CB3963"/>
    <w:rsid w:val="00CB3B8A"/>
    <w:rsid w:val="00CB4D84"/>
    <w:rsid w:val="00CC0B77"/>
    <w:rsid w:val="00CC229B"/>
    <w:rsid w:val="00CC334A"/>
    <w:rsid w:val="00CC4011"/>
    <w:rsid w:val="00CC6730"/>
    <w:rsid w:val="00CD052D"/>
    <w:rsid w:val="00CD06F4"/>
    <w:rsid w:val="00CD3BC6"/>
    <w:rsid w:val="00CD632A"/>
    <w:rsid w:val="00CD646B"/>
    <w:rsid w:val="00CE03B5"/>
    <w:rsid w:val="00CE269A"/>
    <w:rsid w:val="00CE2C36"/>
    <w:rsid w:val="00CE70E3"/>
    <w:rsid w:val="00CE7A75"/>
    <w:rsid w:val="00CF149B"/>
    <w:rsid w:val="00CF2A24"/>
    <w:rsid w:val="00CF349F"/>
    <w:rsid w:val="00CF4498"/>
    <w:rsid w:val="00CF5624"/>
    <w:rsid w:val="00CF5674"/>
    <w:rsid w:val="00CF673F"/>
    <w:rsid w:val="00D01141"/>
    <w:rsid w:val="00D0210C"/>
    <w:rsid w:val="00D055C1"/>
    <w:rsid w:val="00D056D9"/>
    <w:rsid w:val="00D07255"/>
    <w:rsid w:val="00D12307"/>
    <w:rsid w:val="00D1244B"/>
    <w:rsid w:val="00D12577"/>
    <w:rsid w:val="00D15C22"/>
    <w:rsid w:val="00D165F3"/>
    <w:rsid w:val="00D22586"/>
    <w:rsid w:val="00D227A5"/>
    <w:rsid w:val="00D264DE"/>
    <w:rsid w:val="00D27880"/>
    <w:rsid w:val="00D27DEB"/>
    <w:rsid w:val="00D367C1"/>
    <w:rsid w:val="00D409B8"/>
    <w:rsid w:val="00D417FB"/>
    <w:rsid w:val="00D43F17"/>
    <w:rsid w:val="00D442DE"/>
    <w:rsid w:val="00D44DD3"/>
    <w:rsid w:val="00D47439"/>
    <w:rsid w:val="00D54967"/>
    <w:rsid w:val="00D54F98"/>
    <w:rsid w:val="00D558A1"/>
    <w:rsid w:val="00D6049C"/>
    <w:rsid w:val="00D61B5C"/>
    <w:rsid w:val="00D6402E"/>
    <w:rsid w:val="00D70397"/>
    <w:rsid w:val="00D70414"/>
    <w:rsid w:val="00D70F05"/>
    <w:rsid w:val="00D710CA"/>
    <w:rsid w:val="00D76D56"/>
    <w:rsid w:val="00D81CFC"/>
    <w:rsid w:val="00D82EB8"/>
    <w:rsid w:val="00D8474E"/>
    <w:rsid w:val="00D86835"/>
    <w:rsid w:val="00D86D13"/>
    <w:rsid w:val="00D91AE7"/>
    <w:rsid w:val="00D91BEE"/>
    <w:rsid w:val="00D97D61"/>
    <w:rsid w:val="00DA2C2B"/>
    <w:rsid w:val="00DA7925"/>
    <w:rsid w:val="00DB264D"/>
    <w:rsid w:val="00DB34AD"/>
    <w:rsid w:val="00DB38A1"/>
    <w:rsid w:val="00DC25A4"/>
    <w:rsid w:val="00DC270A"/>
    <w:rsid w:val="00DC719A"/>
    <w:rsid w:val="00DC77F6"/>
    <w:rsid w:val="00DC7879"/>
    <w:rsid w:val="00DD033F"/>
    <w:rsid w:val="00DD0462"/>
    <w:rsid w:val="00DD2C83"/>
    <w:rsid w:val="00DD6CFB"/>
    <w:rsid w:val="00DE0231"/>
    <w:rsid w:val="00DE14E0"/>
    <w:rsid w:val="00DE1D22"/>
    <w:rsid w:val="00DE26E9"/>
    <w:rsid w:val="00DE74A8"/>
    <w:rsid w:val="00DE78BB"/>
    <w:rsid w:val="00DE78DC"/>
    <w:rsid w:val="00DF12D3"/>
    <w:rsid w:val="00DF33A1"/>
    <w:rsid w:val="00DF3A30"/>
    <w:rsid w:val="00E00470"/>
    <w:rsid w:val="00E00D87"/>
    <w:rsid w:val="00E00DCF"/>
    <w:rsid w:val="00E0282B"/>
    <w:rsid w:val="00E0351D"/>
    <w:rsid w:val="00E05DF7"/>
    <w:rsid w:val="00E079CB"/>
    <w:rsid w:val="00E1023B"/>
    <w:rsid w:val="00E1090E"/>
    <w:rsid w:val="00E11833"/>
    <w:rsid w:val="00E11994"/>
    <w:rsid w:val="00E1327E"/>
    <w:rsid w:val="00E14AD8"/>
    <w:rsid w:val="00E163A7"/>
    <w:rsid w:val="00E16455"/>
    <w:rsid w:val="00E166BD"/>
    <w:rsid w:val="00E1734D"/>
    <w:rsid w:val="00E2047C"/>
    <w:rsid w:val="00E20508"/>
    <w:rsid w:val="00E210A1"/>
    <w:rsid w:val="00E22C10"/>
    <w:rsid w:val="00E23536"/>
    <w:rsid w:val="00E25EB7"/>
    <w:rsid w:val="00E276C4"/>
    <w:rsid w:val="00E301C4"/>
    <w:rsid w:val="00E30984"/>
    <w:rsid w:val="00E32DCD"/>
    <w:rsid w:val="00E32DE0"/>
    <w:rsid w:val="00E32E22"/>
    <w:rsid w:val="00E349B3"/>
    <w:rsid w:val="00E372E5"/>
    <w:rsid w:val="00E37F1B"/>
    <w:rsid w:val="00E403B9"/>
    <w:rsid w:val="00E40BE4"/>
    <w:rsid w:val="00E46534"/>
    <w:rsid w:val="00E5114A"/>
    <w:rsid w:val="00E5690F"/>
    <w:rsid w:val="00E57C83"/>
    <w:rsid w:val="00E604C4"/>
    <w:rsid w:val="00E606B5"/>
    <w:rsid w:val="00E60E37"/>
    <w:rsid w:val="00E61D9D"/>
    <w:rsid w:val="00E62399"/>
    <w:rsid w:val="00E626FF"/>
    <w:rsid w:val="00E627FB"/>
    <w:rsid w:val="00E635D7"/>
    <w:rsid w:val="00E63BA4"/>
    <w:rsid w:val="00E6438D"/>
    <w:rsid w:val="00E64ECF"/>
    <w:rsid w:val="00E67C7A"/>
    <w:rsid w:val="00E704B7"/>
    <w:rsid w:val="00E7079A"/>
    <w:rsid w:val="00E70FC6"/>
    <w:rsid w:val="00E71513"/>
    <w:rsid w:val="00E73E06"/>
    <w:rsid w:val="00E761E9"/>
    <w:rsid w:val="00E77285"/>
    <w:rsid w:val="00E810EA"/>
    <w:rsid w:val="00E817FC"/>
    <w:rsid w:val="00E83321"/>
    <w:rsid w:val="00E83B98"/>
    <w:rsid w:val="00E84105"/>
    <w:rsid w:val="00E843B1"/>
    <w:rsid w:val="00E85E11"/>
    <w:rsid w:val="00E87583"/>
    <w:rsid w:val="00E94B1C"/>
    <w:rsid w:val="00EA3358"/>
    <w:rsid w:val="00EA3E7A"/>
    <w:rsid w:val="00EA4EFA"/>
    <w:rsid w:val="00EA7EC1"/>
    <w:rsid w:val="00EB06E2"/>
    <w:rsid w:val="00EB1A16"/>
    <w:rsid w:val="00EB4A60"/>
    <w:rsid w:val="00EB68AC"/>
    <w:rsid w:val="00EB6F57"/>
    <w:rsid w:val="00EB70D0"/>
    <w:rsid w:val="00EC2440"/>
    <w:rsid w:val="00EC36E1"/>
    <w:rsid w:val="00EC4AA0"/>
    <w:rsid w:val="00EC5FFD"/>
    <w:rsid w:val="00ED2588"/>
    <w:rsid w:val="00ED4123"/>
    <w:rsid w:val="00ED48D1"/>
    <w:rsid w:val="00ED5103"/>
    <w:rsid w:val="00ED6CD4"/>
    <w:rsid w:val="00EE0721"/>
    <w:rsid w:val="00EE25E4"/>
    <w:rsid w:val="00EE4137"/>
    <w:rsid w:val="00EE6C84"/>
    <w:rsid w:val="00EE6FDE"/>
    <w:rsid w:val="00EE7A00"/>
    <w:rsid w:val="00EF4020"/>
    <w:rsid w:val="00EF5158"/>
    <w:rsid w:val="00EF60AE"/>
    <w:rsid w:val="00EF68C2"/>
    <w:rsid w:val="00F00513"/>
    <w:rsid w:val="00F030E1"/>
    <w:rsid w:val="00F04B7A"/>
    <w:rsid w:val="00F06626"/>
    <w:rsid w:val="00F11A59"/>
    <w:rsid w:val="00F14AC9"/>
    <w:rsid w:val="00F14F73"/>
    <w:rsid w:val="00F15592"/>
    <w:rsid w:val="00F15F56"/>
    <w:rsid w:val="00F207E0"/>
    <w:rsid w:val="00F21186"/>
    <w:rsid w:val="00F22929"/>
    <w:rsid w:val="00F22A3F"/>
    <w:rsid w:val="00F22C29"/>
    <w:rsid w:val="00F22DAE"/>
    <w:rsid w:val="00F233C2"/>
    <w:rsid w:val="00F2708C"/>
    <w:rsid w:val="00F276D2"/>
    <w:rsid w:val="00F27966"/>
    <w:rsid w:val="00F30057"/>
    <w:rsid w:val="00F30D1E"/>
    <w:rsid w:val="00F323AC"/>
    <w:rsid w:val="00F32F29"/>
    <w:rsid w:val="00F34D20"/>
    <w:rsid w:val="00F4032F"/>
    <w:rsid w:val="00F40E89"/>
    <w:rsid w:val="00F41B55"/>
    <w:rsid w:val="00F41B87"/>
    <w:rsid w:val="00F4356D"/>
    <w:rsid w:val="00F46653"/>
    <w:rsid w:val="00F50D7A"/>
    <w:rsid w:val="00F5114F"/>
    <w:rsid w:val="00F52160"/>
    <w:rsid w:val="00F569BB"/>
    <w:rsid w:val="00F607E9"/>
    <w:rsid w:val="00F61A9B"/>
    <w:rsid w:val="00F6303A"/>
    <w:rsid w:val="00F637EC"/>
    <w:rsid w:val="00F6749A"/>
    <w:rsid w:val="00F72BC6"/>
    <w:rsid w:val="00F74D92"/>
    <w:rsid w:val="00F74E91"/>
    <w:rsid w:val="00F765AC"/>
    <w:rsid w:val="00F774A1"/>
    <w:rsid w:val="00F83432"/>
    <w:rsid w:val="00F95FD5"/>
    <w:rsid w:val="00FA188F"/>
    <w:rsid w:val="00FA2B45"/>
    <w:rsid w:val="00FA3521"/>
    <w:rsid w:val="00FA4618"/>
    <w:rsid w:val="00FA5C6A"/>
    <w:rsid w:val="00FA70BC"/>
    <w:rsid w:val="00FB04CE"/>
    <w:rsid w:val="00FB17CB"/>
    <w:rsid w:val="00FB3D43"/>
    <w:rsid w:val="00FB5615"/>
    <w:rsid w:val="00FB782A"/>
    <w:rsid w:val="00FC111C"/>
    <w:rsid w:val="00FC36D8"/>
    <w:rsid w:val="00FC60FE"/>
    <w:rsid w:val="00FC6538"/>
    <w:rsid w:val="00FC6BBD"/>
    <w:rsid w:val="00FC7642"/>
    <w:rsid w:val="00FD04B8"/>
    <w:rsid w:val="00FD161B"/>
    <w:rsid w:val="00FD6542"/>
    <w:rsid w:val="00FD6CF8"/>
    <w:rsid w:val="00FD7C99"/>
    <w:rsid w:val="00FE06E7"/>
    <w:rsid w:val="00FE1148"/>
    <w:rsid w:val="00FE232D"/>
    <w:rsid w:val="00FE2B1F"/>
    <w:rsid w:val="00FE3ED7"/>
    <w:rsid w:val="00FE45E3"/>
    <w:rsid w:val="00FE4851"/>
    <w:rsid w:val="00FE4C70"/>
    <w:rsid w:val="00FF0EE3"/>
    <w:rsid w:val="00FF12AA"/>
    <w:rsid w:val="00FF3A0C"/>
    <w:rsid w:val="00FF3FC9"/>
    <w:rsid w:val="01B5201B"/>
    <w:rsid w:val="01C87E2D"/>
    <w:rsid w:val="01E565FA"/>
    <w:rsid w:val="01F00AC2"/>
    <w:rsid w:val="02154663"/>
    <w:rsid w:val="02292863"/>
    <w:rsid w:val="02301242"/>
    <w:rsid w:val="023A042F"/>
    <w:rsid w:val="025010BB"/>
    <w:rsid w:val="02546B6C"/>
    <w:rsid w:val="029A5126"/>
    <w:rsid w:val="02D9500F"/>
    <w:rsid w:val="02E71BD7"/>
    <w:rsid w:val="03277754"/>
    <w:rsid w:val="03BC14CB"/>
    <w:rsid w:val="03E10EBA"/>
    <w:rsid w:val="03F655EE"/>
    <w:rsid w:val="042664DE"/>
    <w:rsid w:val="04694538"/>
    <w:rsid w:val="048F3716"/>
    <w:rsid w:val="04B94F4D"/>
    <w:rsid w:val="04C21344"/>
    <w:rsid w:val="04D00F80"/>
    <w:rsid w:val="05454338"/>
    <w:rsid w:val="05860158"/>
    <w:rsid w:val="05E77817"/>
    <w:rsid w:val="061D2A2B"/>
    <w:rsid w:val="06387898"/>
    <w:rsid w:val="065151B1"/>
    <w:rsid w:val="0677426E"/>
    <w:rsid w:val="06D949CD"/>
    <w:rsid w:val="06F63A49"/>
    <w:rsid w:val="07205A43"/>
    <w:rsid w:val="072C2985"/>
    <w:rsid w:val="079F0123"/>
    <w:rsid w:val="08585B4C"/>
    <w:rsid w:val="08C03D58"/>
    <w:rsid w:val="097A7C6C"/>
    <w:rsid w:val="097C48EB"/>
    <w:rsid w:val="09DE6C10"/>
    <w:rsid w:val="09F675A4"/>
    <w:rsid w:val="0A14100E"/>
    <w:rsid w:val="0A22297D"/>
    <w:rsid w:val="0A886976"/>
    <w:rsid w:val="0AB04981"/>
    <w:rsid w:val="0ACD63C7"/>
    <w:rsid w:val="0ADB2CF4"/>
    <w:rsid w:val="0B000C83"/>
    <w:rsid w:val="0B1308F6"/>
    <w:rsid w:val="0B253205"/>
    <w:rsid w:val="0B5F4322"/>
    <w:rsid w:val="0C446DC7"/>
    <w:rsid w:val="0CE74F8B"/>
    <w:rsid w:val="0D107A79"/>
    <w:rsid w:val="0D167CE5"/>
    <w:rsid w:val="0D3E4AE7"/>
    <w:rsid w:val="0DFB2FB3"/>
    <w:rsid w:val="0E8A6DC2"/>
    <w:rsid w:val="0EB55CA2"/>
    <w:rsid w:val="0ECA344C"/>
    <w:rsid w:val="0F507316"/>
    <w:rsid w:val="0F75734D"/>
    <w:rsid w:val="0F7C390C"/>
    <w:rsid w:val="0FD542E6"/>
    <w:rsid w:val="0FE07D7F"/>
    <w:rsid w:val="10182083"/>
    <w:rsid w:val="109F7C81"/>
    <w:rsid w:val="10A049A9"/>
    <w:rsid w:val="10A74B97"/>
    <w:rsid w:val="10AE050B"/>
    <w:rsid w:val="10B643FA"/>
    <w:rsid w:val="10DA76D6"/>
    <w:rsid w:val="113A2F0E"/>
    <w:rsid w:val="116A3953"/>
    <w:rsid w:val="11FE06F3"/>
    <w:rsid w:val="12073485"/>
    <w:rsid w:val="122B2DC6"/>
    <w:rsid w:val="126F7F50"/>
    <w:rsid w:val="128B37A6"/>
    <w:rsid w:val="12E71799"/>
    <w:rsid w:val="132A7280"/>
    <w:rsid w:val="13416D96"/>
    <w:rsid w:val="13764A3E"/>
    <w:rsid w:val="13B677A9"/>
    <w:rsid w:val="13EE3401"/>
    <w:rsid w:val="142E526F"/>
    <w:rsid w:val="14A744DC"/>
    <w:rsid w:val="14AD0DD4"/>
    <w:rsid w:val="15562E0E"/>
    <w:rsid w:val="159A0776"/>
    <w:rsid w:val="1677734A"/>
    <w:rsid w:val="17216AF1"/>
    <w:rsid w:val="17422B1D"/>
    <w:rsid w:val="176F2136"/>
    <w:rsid w:val="17EB1580"/>
    <w:rsid w:val="17F712BD"/>
    <w:rsid w:val="1817154F"/>
    <w:rsid w:val="187F4F37"/>
    <w:rsid w:val="18953078"/>
    <w:rsid w:val="18B70434"/>
    <w:rsid w:val="1922698B"/>
    <w:rsid w:val="1983492A"/>
    <w:rsid w:val="1A2A1B57"/>
    <w:rsid w:val="1B3A7B26"/>
    <w:rsid w:val="1B7A33A9"/>
    <w:rsid w:val="1B820C36"/>
    <w:rsid w:val="1C341BE3"/>
    <w:rsid w:val="1C426CD6"/>
    <w:rsid w:val="1C5E08C4"/>
    <w:rsid w:val="1CC75F0F"/>
    <w:rsid w:val="1D026B6B"/>
    <w:rsid w:val="1D13153B"/>
    <w:rsid w:val="1D807409"/>
    <w:rsid w:val="1DB40E22"/>
    <w:rsid w:val="1DCF37F0"/>
    <w:rsid w:val="1E075089"/>
    <w:rsid w:val="1E2A4C19"/>
    <w:rsid w:val="1EAD5057"/>
    <w:rsid w:val="1ED82539"/>
    <w:rsid w:val="1F772FCB"/>
    <w:rsid w:val="1F8B60F0"/>
    <w:rsid w:val="2009603A"/>
    <w:rsid w:val="208F0BA5"/>
    <w:rsid w:val="20917681"/>
    <w:rsid w:val="20F01EC6"/>
    <w:rsid w:val="21084144"/>
    <w:rsid w:val="210C0AB7"/>
    <w:rsid w:val="21440214"/>
    <w:rsid w:val="21955768"/>
    <w:rsid w:val="21FA1A16"/>
    <w:rsid w:val="221072AB"/>
    <w:rsid w:val="221E1123"/>
    <w:rsid w:val="22674D7D"/>
    <w:rsid w:val="2342564B"/>
    <w:rsid w:val="236C7186"/>
    <w:rsid w:val="23A138B4"/>
    <w:rsid w:val="23B2130E"/>
    <w:rsid w:val="24021188"/>
    <w:rsid w:val="2459318C"/>
    <w:rsid w:val="246F0492"/>
    <w:rsid w:val="24B21A5A"/>
    <w:rsid w:val="24FD246F"/>
    <w:rsid w:val="25027012"/>
    <w:rsid w:val="250975F4"/>
    <w:rsid w:val="26132266"/>
    <w:rsid w:val="2661459D"/>
    <w:rsid w:val="26674565"/>
    <w:rsid w:val="26E866B4"/>
    <w:rsid w:val="27997EDF"/>
    <w:rsid w:val="27C0557B"/>
    <w:rsid w:val="27CA036D"/>
    <w:rsid w:val="27F3015D"/>
    <w:rsid w:val="28421013"/>
    <w:rsid w:val="285E79CB"/>
    <w:rsid w:val="286337EB"/>
    <w:rsid w:val="287B6F62"/>
    <w:rsid w:val="288C62EA"/>
    <w:rsid w:val="28E90451"/>
    <w:rsid w:val="29523D8B"/>
    <w:rsid w:val="29564794"/>
    <w:rsid w:val="29C74A0E"/>
    <w:rsid w:val="29C94F77"/>
    <w:rsid w:val="2A354021"/>
    <w:rsid w:val="2A5C2E7E"/>
    <w:rsid w:val="2B02353D"/>
    <w:rsid w:val="2B044B89"/>
    <w:rsid w:val="2B093819"/>
    <w:rsid w:val="2B3E2541"/>
    <w:rsid w:val="2BA47406"/>
    <w:rsid w:val="2BDE08FA"/>
    <w:rsid w:val="2BEB7CFF"/>
    <w:rsid w:val="2BF90944"/>
    <w:rsid w:val="2C354AF2"/>
    <w:rsid w:val="2C4E7372"/>
    <w:rsid w:val="2C586EAF"/>
    <w:rsid w:val="2C713317"/>
    <w:rsid w:val="2C8F7376"/>
    <w:rsid w:val="2CB562BE"/>
    <w:rsid w:val="2CEC4612"/>
    <w:rsid w:val="2D4B773E"/>
    <w:rsid w:val="2D673047"/>
    <w:rsid w:val="2DC35A6B"/>
    <w:rsid w:val="2E201624"/>
    <w:rsid w:val="2E8D0249"/>
    <w:rsid w:val="2E93660B"/>
    <w:rsid w:val="2EE74653"/>
    <w:rsid w:val="2EE92E1E"/>
    <w:rsid w:val="2F2720ED"/>
    <w:rsid w:val="2F357E25"/>
    <w:rsid w:val="2F395F54"/>
    <w:rsid w:val="2F697164"/>
    <w:rsid w:val="2F870A85"/>
    <w:rsid w:val="2F9072FF"/>
    <w:rsid w:val="2FCC4D09"/>
    <w:rsid w:val="2FF16D8F"/>
    <w:rsid w:val="304D21A4"/>
    <w:rsid w:val="30502B6D"/>
    <w:rsid w:val="30874FB4"/>
    <w:rsid w:val="30AE768C"/>
    <w:rsid w:val="317D18D2"/>
    <w:rsid w:val="31C92AD2"/>
    <w:rsid w:val="3285327B"/>
    <w:rsid w:val="329233DC"/>
    <w:rsid w:val="32E81EB9"/>
    <w:rsid w:val="330B5E15"/>
    <w:rsid w:val="332F28F5"/>
    <w:rsid w:val="33D3632F"/>
    <w:rsid w:val="33FD76BE"/>
    <w:rsid w:val="34055461"/>
    <w:rsid w:val="34407811"/>
    <w:rsid w:val="344F417C"/>
    <w:rsid w:val="34530AE6"/>
    <w:rsid w:val="345343F5"/>
    <w:rsid w:val="345A37A9"/>
    <w:rsid w:val="34662FCB"/>
    <w:rsid w:val="34FE57FA"/>
    <w:rsid w:val="35156241"/>
    <w:rsid w:val="351C180B"/>
    <w:rsid w:val="35394371"/>
    <w:rsid w:val="354662DF"/>
    <w:rsid w:val="35B35362"/>
    <w:rsid w:val="35D455C8"/>
    <w:rsid w:val="35FD3316"/>
    <w:rsid w:val="3633308A"/>
    <w:rsid w:val="36396084"/>
    <w:rsid w:val="36B92E1C"/>
    <w:rsid w:val="36E3512F"/>
    <w:rsid w:val="36E542A3"/>
    <w:rsid w:val="36E55B21"/>
    <w:rsid w:val="36EC5CED"/>
    <w:rsid w:val="37036833"/>
    <w:rsid w:val="376B60CC"/>
    <w:rsid w:val="37846F04"/>
    <w:rsid w:val="378F12B1"/>
    <w:rsid w:val="37977A6D"/>
    <w:rsid w:val="37A15113"/>
    <w:rsid w:val="38231C25"/>
    <w:rsid w:val="38307E3A"/>
    <w:rsid w:val="38666187"/>
    <w:rsid w:val="38716244"/>
    <w:rsid w:val="38B12F93"/>
    <w:rsid w:val="38BE2B1C"/>
    <w:rsid w:val="390C3312"/>
    <w:rsid w:val="391A4DE7"/>
    <w:rsid w:val="391B2D98"/>
    <w:rsid w:val="392845DF"/>
    <w:rsid w:val="39384075"/>
    <w:rsid w:val="39905C5B"/>
    <w:rsid w:val="39C93C16"/>
    <w:rsid w:val="39DE2B24"/>
    <w:rsid w:val="39ED0AA1"/>
    <w:rsid w:val="39FA7F52"/>
    <w:rsid w:val="3A002E9A"/>
    <w:rsid w:val="3A5D7DF1"/>
    <w:rsid w:val="3A696106"/>
    <w:rsid w:val="3A771E7C"/>
    <w:rsid w:val="3AAF136E"/>
    <w:rsid w:val="3ACA26EC"/>
    <w:rsid w:val="3AEE58E1"/>
    <w:rsid w:val="3B1521EF"/>
    <w:rsid w:val="3B1934F7"/>
    <w:rsid w:val="3B480A98"/>
    <w:rsid w:val="3BB64A67"/>
    <w:rsid w:val="3CA40A90"/>
    <w:rsid w:val="3CC36161"/>
    <w:rsid w:val="3D0B562A"/>
    <w:rsid w:val="3D532A73"/>
    <w:rsid w:val="3D663392"/>
    <w:rsid w:val="3DA610DF"/>
    <w:rsid w:val="3DF64736"/>
    <w:rsid w:val="3E6E2926"/>
    <w:rsid w:val="3EBC53F6"/>
    <w:rsid w:val="3EBE60F2"/>
    <w:rsid w:val="3F390EE3"/>
    <w:rsid w:val="3F8C48AE"/>
    <w:rsid w:val="3FA041AC"/>
    <w:rsid w:val="3FEC6FA3"/>
    <w:rsid w:val="404D6193"/>
    <w:rsid w:val="40711729"/>
    <w:rsid w:val="409669F0"/>
    <w:rsid w:val="418B32B2"/>
    <w:rsid w:val="4228754F"/>
    <w:rsid w:val="42422076"/>
    <w:rsid w:val="4243163F"/>
    <w:rsid w:val="42473139"/>
    <w:rsid w:val="427830BA"/>
    <w:rsid w:val="42837591"/>
    <w:rsid w:val="42942D63"/>
    <w:rsid w:val="42BC64DD"/>
    <w:rsid w:val="42E2174B"/>
    <w:rsid w:val="43B76C4B"/>
    <w:rsid w:val="43CA280D"/>
    <w:rsid w:val="43F81C45"/>
    <w:rsid w:val="44036C30"/>
    <w:rsid w:val="440B0908"/>
    <w:rsid w:val="443F7548"/>
    <w:rsid w:val="444A128E"/>
    <w:rsid w:val="447B4725"/>
    <w:rsid w:val="449D633E"/>
    <w:rsid w:val="44BF3ED1"/>
    <w:rsid w:val="44E13350"/>
    <w:rsid w:val="451D41E6"/>
    <w:rsid w:val="4544208D"/>
    <w:rsid w:val="4560102C"/>
    <w:rsid w:val="4574179F"/>
    <w:rsid w:val="45853E19"/>
    <w:rsid w:val="45B506A1"/>
    <w:rsid w:val="45C17CDE"/>
    <w:rsid w:val="45F95527"/>
    <w:rsid w:val="45FE57B3"/>
    <w:rsid w:val="464B75B8"/>
    <w:rsid w:val="46501022"/>
    <w:rsid w:val="46A211E8"/>
    <w:rsid w:val="46B22DAD"/>
    <w:rsid w:val="46F26148"/>
    <w:rsid w:val="47022C63"/>
    <w:rsid w:val="47286E32"/>
    <w:rsid w:val="472D42FC"/>
    <w:rsid w:val="479E32E6"/>
    <w:rsid w:val="47C85BBD"/>
    <w:rsid w:val="47E47304"/>
    <w:rsid w:val="47E50A8C"/>
    <w:rsid w:val="487C76A0"/>
    <w:rsid w:val="48853388"/>
    <w:rsid w:val="489243B7"/>
    <w:rsid w:val="489A547A"/>
    <w:rsid w:val="48B04B84"/>
    <w:rsid w:val="48EC26F4"/>
    <w:rsid w:val="48F573F1"/>
    <w:rsid w:val="496767AB"/>
    <w:rsid w:val="49D97353"/>
    <w:rsid w:val="4A642A4E"/>
    <w:rsid w:val="4AA84682"/>
    <w:rsid w:val="4AC22FAD"/>
    <w:rsid w:val="4ACB543E"/>
    <w:rsid w:val="4ADC51BE"/>
    <w:rsid w:val="4AFC1194"/>
    <w:rsid w:val="4B142168"/>
    <w:rsid w:val="4B1D1201"/>
    <w:rsid w:val="4B9932D0"/>
    <w:rsid w:val="4C4A3A0C"/>
    <w:rsid w:val="4C556956"/>
    <w:rsid w:val="4C6215B6"/>
    <w:rsid w:val="4CE27936"/>
    <w:rsid w:val="4D40043E"/>
    <w:rsid w:val="4D591F9B"/>
    <w:rsid w:val="4DC54641"/>
    <w:rsid w:val="4DCA2D3A"/>
    <w:rsid w:val="4E455429"/>
    <w:rsid w:val="4E7835BC"/>
    <w:rsid w:val="4E873C75"/>
    <w:rsid w:val="4E8B26C7"/>
    <w:rsid w:val="4E913497"/>
    <w:rsid w:val="4EB122B3"/>
    <w:rsid w:val="4EBF6B30"/>
    <w:rsid w:val="4ED313FC"/>
    <w:rsid w:val="4ED50339"/>
    <w:rsid w:val="4F411A2B"/>
    <w:rsid w:val="4F9834CC"/>
    <w:rsid w:val="4F9973F4"/>
    <w:rsid w:val="4FB516E1"/>
    <w:rsid w:val="4FCF003A"/>
    <w:rsid w:val="4FD07B4B"/>
    <w:rsid w:val="50142A24"/>
    <w:rsid w:val="502B1E21"/>
    <w:rsid w:val="50A53988"/>
    <w:rsid w:val="514432FE"/>
    <w:rsid w:val="51450D89"/>
    <w:rsid w:val="51854E7F"/>
    <w:rsid w:val="51877F72"/>
    <w:rsid w:val="51F46078"/>
    <w:rsid w:val="51FC53E0"/>
    <w:rsid w:val="5201325E"/>
    <w:rsid w:val="522400A9"/>
    <w:rsid w:val="52537187"/>
    <w:rsid w:val="52831058"/>
    <w:rsid w:val="52C55C27"/>
    <w:rsid w:val="52ED0DE3"/>
    <w:rsid w:val="532A0A56"/>
    <w:rsid w:val="533F5425"/>
    <w:rsid w:val="538006EE"/>
    <w:rsid w:val="545D163F"/>
    <w:rsid w:val="54661A6D"/>
    <w:rsid w:val="547000E3"/>
    <w:rsid w:val="54DC6F76"/>
    <w:rsid w:val="54F262B2"/>
    <w:rsid w:val="55500544"/>
    <w:rsid w:val="5558603B"/>
    <w:rsid w:val="558A07AD"/>
    <w:rsid w:val="55AD4568"/>
    <w:rsid w:val="55DC3E5D"/>
    <w:rsid w:val="55EF390D"/>
    <w:rsid w:val="55F60BA9"/>
    <w:rsid w:val="561016A7"/>
    <w:rsid w:val="561C06B7"/>
    <w:rsid w:val="56985ECA"/>
    <w:rsid w:val="570D10A9"/>
    <w:rsid w:val="577A2152"/>
    <w:rsid w:val="57962DD5"/>
    <w:rsid w:val="57DA2FF7"/>
    <w:rsid w:val="58750081"/>
    <w:rsid w:val="58887DCE"/>
    <w:rsid w:val="58A75590"/>
    <w:rsid w:val="58CE4E5E"/>
    <w:rsid w:val="58D32786"/>
    <w:rsid w:val="5940355A"/>
    <w:rsid w:val="59CA67CF"/>
    <w:rsid w:val="59CD6415"/>
    <w:rsid w:val="59D77ED8"/>
    <w:rsid w:val="5A1F4157"/>
    <w:rsid w:val="5A4F1A83"/>
    <w:rsid w:val="5AF60605"/>
    <w:rsid w:val="5B1D1F89"/>
    <w:rsid w:val="5B726428"/>
    <w:rsid w:val="5B883509"/>
    <w:rsid w:val="5B97670E"/>
    <w:rsid w:val="5BC86507"/>
    <w:rsid w:val="5C0C4A07"/>
    <w:rsid w:val="5C5825AA"/>
    <w:rsid w:val="5C5E59FD"/>
    <w:rsid w:val="5C9639C4"/>
    <w:rsid w:val="5D617B99"/>
    <w:rsid w:val="5D6A0264"/>
    <w:rsid w:val="5DA913A6"/>
    <w:rsid w:val="5DFC41A9"/>
    <w:rsid w:val="5E215AF5"/>
    <w:rsid w:val="5E85058B"/>
    <w:rsid w:val="5F0F6B05"/>
    <w:rsid w:val="5F2549F6"/>
    <w:rsid w:val="5FEF0BC8"/>
    <w:rsid w:val="60235E90"/>
    <w:rsid w:val="607A593F"/>
    <w:rsid w:val="607E760A"/>
    <w:rsid w:val="6090471F"/>
    <w:rsid w:val="60965ADD"/>
    <w:rsid w:val="60CF4CAA"/>
    <w:rsid w:val="61226E78"/>
    <w:rsid w:val="612A36F4"/>
    <w:rsid w:val="619322D8"/>
    <w:rsid w:val="61AC4E9D"/>
    <w:rsid w:val="61AE0F73"/>
    <w:rsid w:val="61B52654"/>
    <w:rsid w:val="61BB1034"/>
    <w:rsid w:val="61C72E6E"/>
    <w:rsid w:val="625B56F8"/>
    <w:rsid w:val="632E79DE"/>
    <w:rsid w:val="63A04925"/>
    <w:rsid w:val="63A36A32"/>
    <w:rsid w:val="63CF1C92"/>
    <w:rsid w:val="63D50A45"/>
    <w:rsid w:val="6409130A"/>
    <w:rsid w:val="641A1533"/>
    <w:rsid w:val="64B90B78"/>
    <w:rsid w:val="653E2C47"/>
    <w:rsid w:val="65713B58"/>
    <w:rsid w:val="65BF71D6"/>
    <w:rsid w:val="660F52E1"/>
    <w:rsid w:val="674B49C6"/>
    <w:rsid w:val="675343DC"/>
    <w:rsid w:val="67766987"/>
    <w:rsid w:val="681A5F3B"/>
    <w:rsid w:val="681F15E7"/>
    <w:rsid w:val="683602AE"/>
    <w:rsid w:val="6878474F"/>
    <w:rsid w:val="68B0186F"/>
    <w:rsid w:val="690C2762"/>
    <w:rsid w:val="691876FE"/>
    <w:rsid w:val="691E574C"/>
    <w:rsid w:val="69501373"/>
    <w:rsid w:val="6AB54053"/>
    <w:rsid w:val="6B4015B2"/>
    <w:rsid w:val="6B61082D"/>
    <w:rsid w:val="6B754BB2"/>
    <w:rsid w:val="6BBB08DF"/>
    <w:rsid w:val="6BE801E7"/>
    <w:rsid w:val="6C2D178F"/>
    <w:rsid w:val="6C9F465B"/>
    <w:rsid w:val="6CBF1508"/>
    <w:rsid w:val="6CE27ACD"/>
    <w:rsid w:val="6D241E63"/>
    <w:rsid w:val="6D6B6E4D"/>
    <w:rsid w:val="6D9305DB"/>
    <w:rsid w:val="6DC37052"/>
    <w:rsid w:val="6DE94F39"/>
    <w:rsid w:val="6DF243DE"/>
    <w:rsid w:val="6E056DE4"/>
    <w:rsid w:val="6E195E38"/>
    <w:rsid w:val="6E2740AB"/>
    <w:rsid w:val="6E2D7400"/>
    <w:rsid w:val="6E543DB3"/>
    <w:rsid w:val="6E5F098F"/>
    <w:rsid w:val="6E8C68AC"/>
    <w:rsid w:val="6E937CD8"/>
    <w:rsid w:val="6F13037E"/>
    <w:rsid w:val="6F3D3ED9"/>
    <w:rsid w:val="6F414742"/>
    <w:rsid w:val="6F422395"/>
    <w:rsid w:val="6F5E5CAB"/>
    <w:rsid w:val="6F777F27"/>
    <w:rsid w:val="6FC113A3"/>
    <w:rsid w:val="6FCB39B7"/>
    <w:rsid w:val="707D5EC5"/>
    <w:rsid w:val="70C90DC0"/>
    <w:rsid w:val="70CE529A"/>
    <w:rsid w:val="71E75C26"/>
    <w:rsid w:val="71FF4465"/>
    <w:rsid w:val="723C52DD"/>
    <w:rsid w:val="72DE59F0"/>
    <w:rsid w:val="73295315"/>
    <w:rsid w:val="732A2376"/>
    <w:rsid w:val="73320DFD"/>
    <w:rsid w:val="738D1120"/>
    <w:rsid w:val="73A47D96"/>
    <w:rsid w:val="73BA3DE4"/>
    <w:rsid w:val="740C659A"/>
    <w:rsid w:val="74567DE9"/>
    <w:rsid w:val="7460295E"/>
    <w:rsid w:val="74E232EB"/>
    <w:rsid w:val="752442F9"/>
    <w:rsid w:val="75885418"/>
    <w:rsid w:val="75D81FEC"/>
    <w:rsid w:val="75F40C53"/>
    <w:rsid w:val="760261F5"/>
    <w:rsid w:val="76E5305A"/>
    <w:rsid w:val="77326D7C"/>
    <w:rsid w:val="773A092C"/>
    <w:rsid w:val="77694F52"/>
    <w:rsid w:val="777651F6"/>
    <w:rsid w:val="77FA5D85"/>
    <w:rsid w:val="78273EF6"/>
    <w:rsid w:val="7919753F"/>
    <w:rsid w:val="792F29F6"/>
    <w:rsid w:val="792F5124"/>
    <w:rsid w:val="79353340"/>
    <w:rsid w:val="795A70E9"/>
    <w:rsid w:val="7A342CD0"/>
    <w:rsid w:val="7A6946E2"/>
    <w:rsid w:val="7A984F70"/>
    <w:rsid w:val="7AFE373A"/>
    <w:rsid w:val="7B366634"/>
    <w:rsid w:val="7B4E2788"/>
    <w:rsid w:val="7B70526D"/>
    <w:rsid w:val="7BA81DE3"/>
    <w:rsid w:val="7BD9545B"/>
    <w:rsid w:val="7C7B179D"/>
    <w:rsid w:val="7C7F7A0B"/>
    <w:rsid w:val="7C9E6B19"/>
    <w:rsid w:val="7CD07F23"/>
    <w:rsid w:val="7D8F6250"/>
    <w:rsid w:val="7D987E04"/>
    <w:rsid w:val="7DD6089E"/>
    <w:rsid w:val="7DDB0212"/>
    <w:rsid w:val="7E1B491C"/>
    <w:rsid w:val="7E295D76"/>
    <w:rsid w:val="7E645A80"/>
    <w:rsid w:val="7EA753CB"/>
    <w:rsid w:val="7F674106"/>
    <w:rsid w:val="EDFF1D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8"/>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37"/>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55"/>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36"/>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8">
    <w:name w:val="heading 5"/>
    <w:basedOn w:val="1"/>
    <w:next w:val="1"/>
    <w:link w:val="42"/>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45"/>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0">
    <w:name w:val="heading 7"/>
    <w:basedOn w:val="1"/>
    <w:next w:val="1"/>
    <w:link w:val="56"/>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48"/>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1"/>
    <w:link w:val="40"/>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27">
    <w:name w:val="Default Paragraph Font"/>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unhideWhenUsed/>
    <w:qFormat/>
    <w:uiPriority w:val="0"/>
    <w:pPr>
      <w:spacing w:after="120" w:afterLines="0" w:afterAutospacing="0"/>
    </w:pPr>
  </w:style>
  <w:style w:type="paragraph" w:styleId="13">
    <w:name w:val="Normal Indent"/>
    <w:basedOn w:val="1"/>
    <w:unhideWhenUsed/>
    <w:qFormat/>
    <w:uiPriority w:val="99"/>
    <w:pPr>
      <w:ind w:firstLine="420" w:firstLineChars="200"/>
    </w:pPr>
  </w:style>
  <w:style w:type="paragraph" w:styleId="14">
    <w:name w:val="annotation text"/>
    <w:basedOn w:val="1"/>
    <w:link w:val="60"/>
    <w:qFormat/>
    <w:uiPriority w:val="0"/>
    <w:pPr>
      <w:jc w:val="left"/>
    </w:pPr>
  </w:style>
  <w:style w:type="paragraph" w:styleId="15">
    <w:name w:val="Body Text Indent"/>
    <w:basedOn w:val="1"/>
    <w:next w:val="13"/>
    <w:qFormat/>
    <w:uiPriority w:val="0"/>
    <w:pPr>
      <w:spacing w:after="120"/>
      <w:ind w:left="420" w:leftChars="200"/>
    </w:pPr>
  </w:style>
  <w:style w:type="paragraph" w:styleId="16">
    <w:name w:val="toc 5"/>
    <w:basedOn w:val="1"/>
    <w:next w:val="1"/>
    <w:qFormat/>
    <w:uiPriority w:val="0"/>
    <w:pPr>
      <w:ind w:left="800" w:leftChars="800"/>
    </w:pPr>
  </w:style>
  <w:style w:type="paragraph" w:styleId="17">
    <w:name w:val="Date"/>
    <w:basedOn w:val="1"/>
    <w:next w:val="1"/>
    <w:qFormat/>
    <w:uiPriority w:val="0"/>
    <w:pPr>
      <w:ind w:left="100" w:leftChars="2500"/>
    </w:pPr>
  </w:style>
  <w:style w:type="paragraph" w:styleId="18">
    <w:name w:val="Balloon Text"/>
    <w:basedOn w:val="1"/>
    <w:link w:val="5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4"/>
    <w:basedOn w:val="1"/>
    <w:next w:val="1"/>
    <w:qFormat/>
    <w:uiPriority w:val="0"/>
    <w:pPr>
      <w:ind w:left="1260"/>
    </w:pPr>
    <w:rPr>
      <w:rFonts w:ascii="黑体" w:eastAsia="黑体"/>
      <w:sz w:val="32"/>
      <w:szCs w:val="32"/>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annotation subject"/>
    <w:basedOn w:val="14"/>
    <w:next w:val="14"/>
    <w:link w:val="59"/>
    <w:qFormat/>
    <w:uiPriority w:val="0"/>
    <w:rPr>
      <w:b/>
      <w:bCs/>
    </w:rPr>
  </w:style>
  <w:style w:type="paragraph" w:styleId="24">
    <w:name w:val="Body Text First Indent 2"/>
    <w:basedOn w:val="15"/>
    <w:next w:val="21"/>
    <w:qFormat/>
    <w:uiPriority w:val="0"/>
    <w:pPr>
      <w:ind w:firstLine="420" w:firstLineChars="200"/>
    </w:pPr>
  </w:style>
  <w:style w:type="table" w:styleId="26">
    <w:name w:val="Table Grid"/>
    <w:basedOn w:val="25"/>
    <w:qFormat/>
    <w:uiPriority w:val="0"/>
    <w:pPr>
      <w:widowControl w:val="0"/>
      <w:jc w:val="both"/>
    </w:pPr>
    <w:rPr>
      <w:rFonts w:ascii="Calibri" w:hAnsi="Calibri"/>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FollowedHyperlink"/>
    <w:basedOn w:val="27"/>
    <w:qFormat/>
    <w:uiPriority w:val="0"/>
    <w:rPr>
      <w:color w:val="333333"/>
      <w:u w:val="none"/>
    </w:rPr>
  </w:style>
  <w:style w:type="character" w:styleId="31">
    <w:name w:val="Hyperlink"/>
    <w:basedOn w:val="27"/>
    <w:qFormat/>
    <w:uiPriority w:val="0"/>
    <w:rPr>
      <w:color w:val="0563C1"/>
      <w:u w:val="single"/>
    </w:rPr>
  </w:style>
  <w:style w:type="character" w:styleId="32">
    <w:name w:val="HTML Code"/>
    <w:qFormat/>
    <w:uiPriority w:val="0"/>
    <w:rPr>
      <w:rFonts w:ascii="宋体" w:hAnsi="宋体" w:eastAsia="宋体" w:cs="宋体"/>
      <w:sz w:val="24"/>
      <w:szCs w:val="24"/>
    </w:rPr>
  </w:style>
  <w:style w:type="character" w:styleId="33">
    <w:name w:val="annotation reference"/>
    <w:qFormat/>
    <w:uiPriority w:val="0"/>
    <w:rPr>
      <w:sz w:val="21"/>
      <w:szCs w:val="21"/>
    </w:rPr>
  </w:style>
  <w:style w:type="paragraph" w:customStyle="1" w:styleId="34">
    <w:name w:val="_Style 1"/>
    <w:basedOn w:val="1"/>
    <w:qFormat/>
    <w:uiPriority w:val="0"/>
    <w:rPr>
      <w:rFonts w:ascii="Times New Roman" w:hAnsi="Times New Roman"/>
    </w:rPr>
  </w:style>
  <w:style w:type="paragraph" w:customStyle="1" w:styleId="35">
    <w:name w:val="BodyText1I"/>
    <w:basedOn w:val="1"/>
    <w:qFormat/>
    <w:uiPriority w:val="99"/>
    <w:pPr>
      <w:snapToGrid w:val="0"/>
      <w:spacing w:line="360" w:lineRule="auto"/>
      <w:ind w:firstLine="420" w:firstLineChars="100"/>
    </w:pPr>
    <w:rPr>
      <w:sz w:val="28"/>
      <w:szCs w:val="20"/>
    </w:rPr>
  </w:style>
  <w:style w:type="character" w:customStyle="1" w:styleId="36">
    <w:name w:val="标题 4 Char"/>
    <w:link w:val="7"/>
    <w:qFormat/>
    <w:uiPriority w:val="0"/>
    <w:rPr>
      <w:rFonts w:ascii="Arial" w:hAnsi="Arial" w:eastAsia="黑体"/>
      <w:b/>
      <w:bCs/>
      <w:kern w:val="2"/>
      <w:sz w:val="28"/>
      <w:szCs w:val="28"/>
      <w:lang w:val="en-US" w:eastAsia="zh-CN" w:bidi="ar-SA"/>
    </w:rPr>
  </w:style>
  <w:style w:type="character" w:customStyle="1" w:styleId="37">
    <w:name w:val="标题 2 Char"/>
    <w:link w:val="5"/>
    <w:qFormat/>
    <w:uiPriority w:val="0"/>
    <w:rPr>
      <w:rFonts w:ascii="Arial" w:hAnsi="Arial" w:eastAsia="黑体"/>
      <w:b/>
      <w:bCs/>
      <w:kern w:val="2"/>
      <w:sz w:val="32"/>
      <w:szCs w:val="32"/>
      <w:lang w:val="en-US" w:eastAsia="zh-CN" w:bidi="ar-SA"/>
    </w:rPr>
  </w:style>
  <w:style w:type="character" w:customStyle="1" w:styleId="38">
    <w:name w:val="font61"/>
    <w:basedOn w:val="27"/>
    <w:qFormat/>
    <w:uiPriority w:val="0"/>
    <w:rPr>
      <w:rFonts w:hint="default" w:ascii="Times New Roman" w:hAnsi="Times New Roman" w:cs="Times New Roman"/>
      <w:color w:val="000000"/>
      <w:sz w:val="16"/>
      <w:szCs w:val="16"/>
      <w:u w:val="none"/>
    </w:rPr>
  </w:style>
  <w:style w:type="character" w:customStyle="1" w:styleId="39">
    <w:name w:val="font41"/>
    <w:basedOn w:val="27"/>
    <w:qFormat/>
    <w:uiPriority w:val="0"/>
    <w:rPr>
      <w:rFonts w:hint="eastAsia" w:ascii="宋体" w:hAnsi="宋体" w:eastAsia="宋体" w:cs="宋体"/>
      <w:color w:val="000000"/>
      <w:sz w:val="16"/>
      <w:szCs w:val="16"/>
      <w:u w:val="none"/>
    </w:rPr>
  </w:style>
  <w:style w:type="character" w:customStyle="1" w:styleId="40">
    <w:name w:val="标题 9 Char"/>
    <w:link w:val="12"/>
    <w:qFormat/>
    <w:uiPriority w:val="0"/>
    <w:rPr>
      <w:rFonts w:ascii="Arial" w:hAnsi="Arial" w:eastAsia="黑体"/>
      <w:kern w:val="2"/>
      <w:sz w:val="21"/>
      <w:szCs w:val="21"/>
      <w:lang w:val="en-US" w:eastAsia="zh-CN" w:bidi="ar-SA"/>
    </w:rPr>
  </w:style>
  <w:style w:type="character" w:customStyle="1" w:styleId="41">
    <w:name w:val="font01"/>
    <w:basedOn w:val="27"/>
    <w:qFormat/>
    <w:uiPriority w:val="0"/>
    <w:rPr>
      <w:rFonts w:hint="default" w:ascii="Times New Roman" w:hAnsi="Times New Roman" w:cs="Times New Roman"/>
      <w:color w:val="000000"/>
      <w:sz w:val="16"/>
      <w:szCs w:val="16"/>
      <w:u w:val="none"/>
    </w:rPr>
  </w:style>
  <w:style w:type="character" w:customStyle="1" w:styleId="42">
    <w:name w:val="标题 5 Char"/>
    <w:link w:val="8"/>
    <w:qFormat/>
    <w:uiPriority w:val="0"/>
    <w:rPr>
      <w:rFonts w:eastAsia="宋体"/>
      <w:b/>
      <w:bCs/>
      <w:kern w:val="2"/>
      <w:sz w:val="28"/>
      <w:szCs w:val="28"/>
      <w:lang w:val="en-US" w:eastAsia="zh-CN" w:bidi="ar-SA"/>
    </w:rPr>
  </w:style>
  <w:style w:type="character" w:customStyle="1" w:styleId="43">
    <w:name w:val="font131"/>
    <w:basedOn w:val="27"/>
    <w:qFormat/>
    <w:uiPriority w:val="0"/>
    <w:rPr>
      <w:rFonts w:hint="eastAsia" w:ascii="宋体" w:hAnsi="宋体" w:eastAsia="宋体" w:cs="宋体"/>
      <w:color w:val="000000"/>
      <w:sz w:val="16"/>
      <w:szCs w:val="16"/>
      <w:u w:val="none"/>
    </w:rPr>
  </w:style>
  <w:style w:type="character" w:customStyle="1" w:styleId="44">
    <w:name w:val="font51"/>
    <w:basedOn w:val="27"/>
    <w:qFormat/>
    <w:uiPriority w:val="0"/>
    <w:rPr>
      <w:rFonts w:hint="default" w:ascii="Times New Roman" w:hAnsi="Times New Roman" w:cs="Times New Roman"/>
      <w:color w:val="000000"/>
      <w:sz w:val="16"/>
      <w:szCs w:val="16"/>
      <w:u w:val="none"/>
    </w:rPr>
  </w:style>
  <w:style w:type="character" w:customStyle="1" w:styleId="45">
    <w:name w:val="标题 6 Char"/>
    <w:link w:val="9"/>
    <w:qFormat/>
    <w:uiPriority w:val="0"/>
    <w:rPr>
      <w:rFonts w:ascii="Arial" w:hAnsi="Arial" w:eastAsia="黑体"/>
      <w:b/>
      <w:bCs/>
      <w:kern w:val="2"/>
      <w:sz w:val="24"/>
      <w:szCs w:val="24"/>
      <w:lang w:val="en-US" w:eastAsia="zh-CN" w:bidi="ar-SA"/>
    </w:rPr>
  </w:style>
  <w:style w:type="character" w:customStyle="1" w:styleId="46">
    <w:name w:val="font71"/>
    <w:basedOn w:val="27"/>
    <w:qFormat/>
    <w:uiPriority w:val="0"/>
    <w:rPr>
      <w:rFonts w:hint="eastAsia" w:ascii="宋体" w:hAnsi="宋体" w:eastAsia="宋体" w:cs="宋体"/>
      <w:color w:val="000000"/>
      <w:sz w:val="16"/>
      <w:szCs w:val="16"/>
      <w:u w:val="none"/>
    </w:rPr>
  </w:style>
  <w:style w:type="character" w:customStyle="1" w:styleId="47">
    <w:name w:val="Heading 2 Char"/>
    <w:qFormat/>
    <w:locked/>
    <w:uiPriority w:val="0"/>
    <w:rPr>
      <w:rFonts w:ascii="Cambria" w:hAnsi="Cambria" w:eastAsia="宋体" w:cs="Times New Roman"/>
      <w:b/>
      <w:bCs/>
      <w:sz w:val="32"/>
      <w:szCs w:val="32"/>
    </w:rPr>
  </w:style>
  <w:style w:type="character" w:customStyle="1" w:styleId="48">
    <w:name w:val="标题 8 Char"/>
    <w:link w:val="11"/>
    <w:qFormat/>
    <w:uiPriority w:val="0"/>
    <w:rPr>
      <w:rFonts w:ascii="Arial" w:hAnsi="Arial" w:eastAsia="黑体"/>
      <w:kern w:val="2"/>
      <w:sz w:val="24"/>
      <w:szCs w:val="24"/>
      <w:lang w:val="en-US" w:eastAsia="zh-CN" w:bidi="ar-SA"/>
    </w:rPr>
  </w:style>
  <w:style w:type="character" w:customStyle="1" w:styleId="49">
    <w:name w:val="apple-converted-space"/>
    <w:qFormat/>
    <w:uiPriority w:val="0"/>
    <w:rPr>
      <w:rFonts w:cs="Times New Roman"/>
    </w:rPr>
  </w:style>
  <w:style w:type="character" w:customStyle="1" w:styleId="50">
    <w:name w:val="font91"/>
    <w:basedOn w:val="27"/>
    <w:qFormat/>
    <w:uiPriority w:val="0"/>
    <w:rPr>
      <w:rFonts w:hint="default" w:ascii="Times New Roman" w:hAnsi="Times New Roman" w:cs="Times New Roman"/>
      <w:color w:val="000000"/>
      <w:sz w:val="16"/>
      <w:szCs w:val="16"/>
      <w:u w:val="none"/>
    </w:rPr>
  </w:style>
  <w:style w:type="character" w:customStyle="1" w:styleId="51">
    <w:name w:val="批注框文本 Char"/>
    <w:link w:val="18"/>
    <w:qFormat/>
    <w:uiPriority w:val="0"/>
    <w:rPr>
      <w:rFonts w:eastAsia="宋体"/>
      <w:kern w:val="2"/>
      <w:sz w:val="18"/>
      <w:szCs w:val="18"/>
      <w:lang w:val="en-US" w:eastAsia="zh-CN" w:bidi="ar-SA"/>
    </w:rPr>
  </w:style>
  <w:style w:type="character" w:customStyle="1" w:styleId="52">
    <w:name w:val="hover23"/>
    <w:basedOn w:val="27"/>
    <w:qFormat/>
    <w:uiPriority w:val="0"/>
    <w:rPr>
      <w:color w:val="000000"/>
      <w:shd w:val="clear" w:color="auto" w:fill="FFFFFF"/>
    </w:rPr>
  </w:style>
  <w:style w:type="character" w:customStyle="1" w:styleId="53">
    <w:name w:val="font21"/>
    <w:basedOn w:val="27"/>
    <w:qFormat/>
    <w:uiPriority w:val="0"/>
    <w:rPr>
      <w:rFonts w:hint="eastAsia" w:ascii="宋体" w:hAnsi="宋体" w:eastAsia="宋体" w:cs="宋体"/>
      <w:color w:val="000000"/>
      <w:sz w:val="16"/>
      <w:szCs w:val="16"/>
      <w:u w:val="none"/>
    </w:rPr>
  </w:style>
  <w:style w:type="character" w:customStyle="1" w:styleId="54">
    <w:name w:val="wx-space1"/>
    <w:basedOn w:val="27"/>
    <w:qFormat/>
    <w:uiPriority w:val="0"/>
  </w:style>
  <w:style w:type="character" w:customStyle="1" w:styleId="55">
    <w:name w:val="标题 3 Char"/>
    <w:link w:val="6"/>
    <w:qFormat/>
    <w:uiPriority w:val="0"/>
    <w:rPr>
      <w:rFonts w:eastAsia="宋体"/>
      <w:b/>
      <w:bCs/>
      <w:kern w:val="2"/>
      <w:sz w:val="32"/>
      <w:szCs w:val="32"/>
      <w:lang w:val="en-US" w:eastAsia="zh-CN" w:bidi="ar-SA"/>
    </w:rPr>
  </w:style>
  <w:style w:type="character" w:customStyle="1" w:styleId="56">
    <w:name w:val="标题 7 Char"/>
    <w:link w:val="10"/>
    <w:qFormat/>
    <w:uiPriority w:val="0"/>
    <w:rPr>
      <w:rFonts w:eastAsia="宋体"/>
      <w:b/>
      <w:bCs/>
      <w:kern w:val="2"/>
      <w:sz w:val="24"/>
      <w:szCs w:val="24"/>
      <w:lang w:val="en-US" w:eastAsia="zh-CN" w:bidi="ar-SA"/>
    </w:rPr>
  </w:style>
  <w:style w:type="character" w:customStyle="1" w:styleId="57">
    <w:name w:val="wx-space"/>
    <w:basedOn w:val="27"/>
    <w:qFormat/>
    <w:uiPriority w:val="0"/>
  </w:style>
  <w:style w:type="character" w:customStyle="1" w:styleId="58">
    <w:name w:val="标题 1 Char"/>
    <w:link w:val="4"/>
    <w:qFormat/>
    <w:uiPriority w:val="0"/>
    <w:rPr>
      <w:rFonts w:eastAsia="宋体"/>
      <w:b/>
      <w:bCs/>
      <w:kern w:val="44"/>
      <w:sz w:val="44"/>
      <w:szCs w:val="44"/>
      <w:lang w:val="en-US" w:eastAsia="zh-CN" w:bidi="ar-SA"/>
    </w:rPr>
  </w:style>
  <w:style w:type="character" w:customStyle="1" w:styleId="59">
    <w:name w:val="批注主题 Char"/>
    <w:link w:val="23"/>
    <w:qFormat/>
    <w:uiPriority w:val="0"/>
    <w:rPr>
      <w:rFonts w:eastAsia="宋体"/>
      <w:b/>
      <w:bCs/>
      <w:kern w:val="2"/>
      <w:sz w:val="21"/>
      <w:szCs w:val="24"/>
      <w:lang w:val="en-US" w:eastAsia="zh-CN" w:bidi="ar-SA"/>
    </w:rPr>
  </w:style>
  <w:style w:type="character" w:customStyle="1" w:styleId="60">
    <w:name w:val="批注文字 Char"/>
    <w:link w:val="14"/>
    <w:qFormat/>
    <w:uiPriority w:val="0"/>
    <w:rPr>
      <w:rFonts w:eastAsia="宋体"/>
      <w:kern w:val="2"/>
      <w:sz w:val="21"/>
      <w:szCs w:val="24"/>
      <w:lang w:val="en-US" w:eastAsia="zh-CN" w:bidi="ar-SA"/>
    </w:rPr>
  </w:style>
  <w:style w:type="character" w:customStyle="1" w:styleId="61">
    <w:name w:val="hover25"/>
    <w:basedOn w:val="27"/>
    <w:qFormat/>
    <w:uiPriority w:val="0"/>
    <w:rPr>
      <w:color w:val="000000"/>
      <w:shd w:val="clear" w:color="auto" w:fill="FFFFFF"/>
    </w:rPr>
  </w:style>
  <w:style w:type="paragraph" w:customStyle="1" w:styleId="62">
    <w:name w:val="1111"/>
    <w:basedOn w:val="1"/>
    <w:qFormat/>
    <w:uiPriority w:val="0"/>
    <w:pPr>
      <w:spacing w:line="360" w:lineRule="auto"/>
      <w:ind w:firstLine="200" w:firstLineChars="200"/>
    </w:pPr>
    <w:rPr>
      <w:rFonts w:eastAsia="仿宋_GB2312"/>
      <w:sz w:val="24"/>
    </w:rPr>
  </w:style>
  <w:style w:type="paragraph" w:styleId="63">
    <w:name w:val="List Paragraph"/>
    <w:basedOn w:val="1"/>
    <w:qFormat/>
    <w:uiPriority w:val="0"/>
    <w:pPr>
      <w:ind w:firstLine="420" w:firstLineChars="200"/>
    </w:pPr>
  </w:style>
  <w:style w:type="character" w:customStyle="1" w:styleId="64">
    <w:name w:val="font31"/>
    <w:basedOn w:val="27"/>
    <w:qFormat/>
    <w:uiPriority w:val="0"/>
    <w:rPr>
      <w:rFonts w:hint="default" w:ascii="Times New Roman" w:hAnsi="Times New Roman" w:cs="Times New Roman"/>
      <w:color w:val="000000"/>
      <w:sz w:val="21"/>
      <w:szCs w:val="21"/>
      <w:u w:val="none"/>
    </w:rPr>
  </w:style>
  <w:style w:type="character" w:customStyle="1" w:styleId="65">
    <w:name w:val="font11"/>
    <w:basedOn w:val="2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9340</Words>
  <Characters>10424</Characters>
  <Lines>91</Lines>
  <Paragraphs>25</Paragraphs>
  <TotalTime>0</TotalTime>
  <ScaleCrop>false</ScaleCrop>
  <LinksUpToDate>false</LinksUpToDate>
  <CharactersWithSpaces>10591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2017-09-01T16:20:00Z</dcterms:created>
  <dc:creator>Administrator</dc:creator>
  <cp:lastModifiedBy>明明</cp:lastModifiedBy>
  <cp:lastPrinted>2018-11-17T19:43:00Z</cp:lastPrinted>
  <dcterms:modified xsi:type="dcterms:W3CDTF">2023-11-20T06:47:23Z</dcterms:modified>
  <dc:title>岳阳市2012-2017年</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DCECBF37DEE44C03A121C2FB07D0F48D</vt:lpwstr>
  </property>
</Properties>
</file>