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EECE1"/>
  <w:body>
    <w:p>
      <w:pPr>
        <w:spacing w:line="760" w:lineRule="exact"/>
        <w:jc w:val="both"/>
        <w:rPr>
          <w:rFonts w:hint="eastAsia" w:ascii="楷体_GB2312" w:hAnsi="宋体" w:eastAsia="楷体_GB2312"/>
          <w:b/>
          <w:sz w:val="32"/>
          <w:szCs w:val="32"/>
          <w:lang w:eastAsia="zh-CN"/>
        </w:rPr>
      </w:pPr>
    </w:p>
    <w:p>
      <w:pPr>
        <w:spacing w:line="760" w:lineRule="exact"/>
        <w:jc w:val="center"/>
        <w:rPr>
          <w:rFonts w:hint="eastAsia" w:ascii="楷体_GB2312" w:hAnsi="宋体" w:eastAsia="楷体_GB2312"/>
          <w:b/>
          <w:sz w:val="32"/>
          <w:szCs w:val="32"/>
          <w:lang w:eastAsia="zh-CN"/>
        </w:rPr>
      </w:pPr>
      <w:r>
        <w:rPr>
          <w:rFonts w:hint="eastAsia" w:ascii="楷体_GB2312" w:hAnsi="宋体" w:eastAsia="楷体_GB2312"/>
          <w:b/>
          <w:sz w:val="32"/>
          <w:szCs w:val="32"/>
          <w:lang w:val="en-US" w:eastAsia="zh-CN"/>
        </w:rPr>
        <w:t>云溪区就业服务中心2022年度就业补助资金</w:t>
      </w:r>
    </w:p>
    <w:p>
      <w:pPr>
        <w:spacing w:line="1200" w:lineRule="exact"/>
        <w:ind w:firstLine="1027" w:firstLineChars="100"/>
        <w:rPr>
          <w:rFonts w:hint="eastAsia" w:ascii="楷体_GB2312" w:hAnsi="宋体" w:eastAsia="楷体_GB2312"/>
          <w:b/>
          <w:bCs/>
          <w:spacing w:val="152"/>
          <w:sz w:val="72"/>
          <w:szCs w:val="72"/>
        </w:rPr>
      </w:pPr>
      <w:r>
        <w:rPr>
          <w:rFonts w:hint="eastAsia" w:ascii="楷体_GB2312" w:hAnsi="宋体" w:eastAsia="楷体_GB2312"/>
          <w:b/>
          <w:bCs/>
          <w:spacing w:val="152"/>
          <w:sz w:val="72"/>
          <w:szCs w:val="72"/>
        </w:rPr>
        <w:t>绩效评价报告书</w:t>
      </w:r>
    </w:p>
    <w:p>
      <w:pPr>
        <w:spacing w:line="760" w:lineRule="exact"/>
        <w:jc w:val="center"/>
        <w:outlineLvl w:val="0"/>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湘公会司</w:t>
      </w:r>
      <w:r>
        <w:rPr>
          <w:rFonts w:hint="eastAsia" w:ascii="楷体_GB2312" w:hAnsi="宋体" w:eastAsia="楷体_GB2312"/>
          <w:b/>
          <w:bCs/>
          <w:sz w:val="32"/>
          <w:szCs w:val="32"/>
          <w:highlight w:val="none"/>
          <w:lang w:eastAsia="zh-CN"/>
        </w:rPr>
        <w:t>（</w:t>
      </w:r>
      <w:r>
        <w:rPr>
          <w:rFonts w:hint="eastAsia" w:ascii="楷体_GB2312" w:hAnsi="宋体" w:eastAsia="楷体_GB2312"/>
          <w:b/>
          <w:bCs/>
          <w:sz w:val="32"/>
          <w:szCs w:val="32"/>
          <w:highlight w:val="none"/>
          <w:lang w:val="en-US" w:eastAsia="zh-CN"/>
        </w:rPr>
        <w:t>绩）</w:t>
      </w:r>
      <w:r>
        <w:rPr>
          <w:rFonts w:hint="eastAsia" w:ascii="楷体_GB2312" w:hAnsi="宋体" w:eastAsia="楷体_GB2312"/>
          <w:b/>
          <w:bCs/>
          <w:sz w:val="32"/>
          <w:szCs w:val="32"/>
          <w:highlight w:val="none"/>
          <w:lang w:eastAsia="zh-CN"/>
        </w:rPr>
        <w:t>字[2023]第</w:t>
      </w:r>
      <w:r>
        <w:rPr>
          <w:rFonts w:hint="eastAsia" w:ascii="楷体_GB2312" w:hAnsi="宋体" w:eastAsia="楷体_GB2312"/>
          <w:b/>
          <w:bCs/>
          <w:sz w:val="32"/>
          <w:szCs w:val="32"/>
          <w:highlight w:val="none"/>
          <w:lang w:val="en-US" w:eastAsia="zh-CN"/>
        </w:rPr>
        <w:t>009</w:t>
      </w:r>
      <w:r>
        <w:rPr>
          <w:rFonts w:hint="eastAsia" w:ascii="楷体_GB2312" w:hAnsi="宋体" w:eastAsia="楷体_GB2312"/>
          <w:b/>
          <w:bCs/>
          <w:sz w:val="32"/>
          <w:szCs w:val="32"/>
          <w:lang w:eastAsia="zh-CN"/>
        </w:rPr>
        <w:t>号</w:t>
      </w: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bookmarkStart w:id="0" w:name="_GoBack"/>
      <w:bookmarkEnd w:id="0"/>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rPr>
      </w:pPr>
    </w:p>
    <w:p>
      <w:pPr>
        <w:spacing w:line="760" w:lineRule="exact"/>
        <w:ind w:firstLine="2006" w:firstLineChars="500"/>
        <w:jc w:val="both"/>
        <w:outlineLvl w:val="0"/>
        <w:rPr>
          <w:rFonts w:hint="eastAsia" w:ascii="楷体_GB2312" w:hAnsi="宋体" w:eastAsia="楷体_GB2312"/>
          <w:b/>
          <w:bCs/>
          <w:spacing w:val="40"/>
          <w:sz w:val="32"/>
          <w:szCs w:val="32"/>
          <w:lang w:eastAsia="zh-CN"/>
        </w:rPr>
      </w:pPr>
      <w:r>
        <w:rPr>
          <w:rFonts w:hint="eastAsia" w:ascii="楷体_GB2312" w:hAnsi="宋体" w:eastAsia="楷体_GB2312"/>
          <w:b/>
          <w:bCs/>
          <w:spacing w:val="40"/>
          <w:sz w:val="32"/>
          <w:szCs w:val="32"/>
          <w:lang w:eastAsia="zh-CN"/>
        </w:rPr>
        <w:t>湖南公众会计师事务所有限公司</w:t>
      </w:r>
    </w:p>
    <w:p>
      <w:pPr>
        <w:spacing w:line="760" w:lineRule="exact"/>
        <w:jc w:val="center"/>
        <w:rPr>
          <w:rFonts w:hint="eastAsia" w:ascii="楷体_GB2312" w:hAnsi="宋体" w:eastAsia="楷体_GB2312"/>
          <w:b/>
          <w:bCs/>
          <w:sz w:val="32"/>
          <w:szCs w:val="32"/>
          <w:lang w:eastAsia="zh-CN"/>
        </w:rPr>
      </w:pPr>
      <w:r>
        <w:rPr>
          <w:rFonts w:hint="eastAsia" w:ascii="楷体_GB2312" w:hAnsi="宋体" w:eastAsia="楷体_GB2312"/>
          <w:b/>
          <w:bCs/>
          <w:sz w:val="32"/>
          <w:szCs w:val="32"/>
        </w:rPr>
        <w:t xml:space="preserve">  </w:t>
      </w:r>
      <w:r>
        <w:rPr>
          <w:rFonts w:hint="eastAsia" w:ascii="楷体_GB2312" w:hAnsi="宋体" w:eastAsia="楷体_GB2312"/>
          <w:b/>
          <w:bCs/>
          <w:sz w:val="32"/>
          <w:szCs w:val="32"/>
          <w:lang w:eastAsia="zh-CN"/>
        </w:rPr>
        <w:t>二〇二</w:t>
      </w:r>
      <w:r>
        <w:rPr>
          <w:rFonts w:hint="eastAsia" w:ascii="楷体_GB2312" w:hAnsi="宋体" w:eastAsia="楷体_GB2312"/>
          <w:b/>
          <w:bCs/>
          <w:sz w:val="32"/>
          <w:szCs w:val="32"/>
          <w:lang w:val="en-US" w:eastAsia="zh-CN"/>
        </w:rPr>
        <w:t>三</w:t>
      </w:r>
      <w:r>
        <w:rPr>
          <w:rFonts w:hint="eastAsia" w:ascii="楷体_GB2312" w:hAnsi="宋体" w:eastAsia="楷体_GB2312"/>
          <w:b/>
          <w:bCs/>
          <w:sz w:val="32"/>
          <w:szCs w:val="32"/>
          <w:lang w:eastAsia="zh-CN"/>
        </w:rPr>
        <w:t>年</w:t>
      </w:r>
      <w:r>
        <w:rPr>
          <w:rFonts w:hint="eastAsia" w:ascii="楷体_GB2312" w:hAnsi="宋体" w:eastAsia="楷体_GB2312"/>
          <w:b/>
          <w:bCs/>
          <w:sz w:val="32"/>
          <w:szCs w:val="32"/>
          <w:lang w:val="en-US" w:eastAsia="zh-CN"/>
        </w:rPr>
        <w:t>八</w:t>
      </w:r>
      <w:r>
        <w:rPr>
          <w:rFonts w:hint="eastAsia" w:ascii="楷体_GB2312" w:hAnsi="宋体" w:eastAsia="楷体_GB2312"/>
          <w:b/>
          <w:bCs/>
          <w:sz w:val="32"/>
          <w:szCs w:val="32"/>
          <w:lang w:eastAsia="zh-CN"/>
        </w:rPr>
        <w:t>月</w:t>
      </w:r>
    </w:p>
    <w:p>
      <w:pPr>
        <w:spacing w:line="800" w:lineRule="exact"/>
        <w:ind w:firstLine="1066" w:firstLineChars="295"/>
        <w:rPr>
          <w:rFonts w:hint="eastAsia" w:ascii="黑体" w:hAnsi="黑体" w:eastAsia="黑体"/>
          <w:b/>
          <w:bCs/>
          <w:sz w:val="36"/>
          <w:szCs w:val="36"/>
        </w:rPr>
        <w:sectPr>
          <w:headerReference r:id="rId4" w:type="first"/>
          <w:footerReference r:id="rId5" w:type="first"/>
          <w:headerReference r:id="rId3" w:type="default"/>
          <w:pgSz w:w="11906" w:h="16838"/>
          <w:pgMar w:top="1440" w:right="1644" w:bottom="1247" w:left="1644" w:header="851" w:footer="992" w:gutter="0"/>
          <w:pgNumType w:fmt="decimal"/>
          <w:cols w:space="720" w:num="1"/>
          <w:titlePg/>
          <w:docGrid w:type="lines" w:linePitch="312" w:charSpace="0"/>
        </w:sectPr>
      </w:pPr>
    </w:p>
    <w:p>
      <w:pPr>
        <w:spacing w:line="800" w:lineRule="exact"/>
        <w:ind w:firstLine="964" w:firstLineChars="300"/>
        <w:rPr>
          <w:rFonts w:hint="eastAsia" w:ascii="楷体_GB2312" w:hAnsi="宋体" w:eastAsia="楷体_GB2312"/>
          <w:b/>
          <w:sz w:val="32"/>
          <w:szCs w:val="32"/>
          <w:lang w:val="en-US" w:eastAsia="zh-CN"/>
        </w:rPr>
      </w:pPr>
      <w:r>
        <w:rPr>
          <w:rFonts w:hint="eastAsia" w:ascii="楷体_GB2312" w:hAnsi="宋体" w:eastAsia="楷体_GB2312"/>
          <w:b/>
          <w:sz w:val="32"/>
          <w:szCs w:val="32"/>
          <w:lang w:val="en-US" w:eastAsia="zh-CN"/>
        </w:rPr>
        <w:t>云溪区就业服务中心</w:t>
      </w:r>
      <w:r>
        <w:rPr>
          <w:rFonts w:hint="eastAsia" w:ascii="楷体_GB2312" w:hAnsi="宋体" w:eastAsia="楷体_GB2312"/>
          <w:b/>
          <w:sz w:val="32"/>
          <w:szCs w:val="32"/>
          <w:lang w:eastAsia="zh-CN"/>
        </w:rPr>
        <w:t>2022年度就业补助资金</w:t>
      </w:r>
    </w:p>
    <w:p>
      <w:pPr>
        <w:spacing w:line="800" w:lineRule="exact"/>
        <w:ind w:firstLine="2891" w:firstLineChars="800"/>
        <w:rPr>
          <w:rFonts w:hint="eastAsia" w:ascii="楷体" w:hAnsi="楷体" w:eastAsia="楷体" w:cs="楷体"/>
          <w:b/>
          <w:bCs/>
          <w:sz w:val="36"/>
          <w:szCs w:val="36"/>
        </w:rPr>
      </w:pPr>
      <w:r>
        <w:rPr>
          <w:rFonts w:hint="eastAsia" w:ascii="楷体" w:hAnsi="楷体" w:eastAsia="楷体" w:cs="楷体"/>
          <w:b/>
          <w:bCs/>
          <w:sz w:val="36"/>
          <w:szCs w:val="36"/>
          <w:lang w:eastAsia="zh-CN"/>
        </w:rPr>
        <w:t>重点</w:t>
      </w:r>
      <w:r>
        <w:rPr>
          <w:rFonts w:hint="eastAsia" w:ascii="楷体" w:hAnsi="楷体" w:eastAsia="楷体" w:cs="楷体"/>
          <w:b/>
          <w:bCs/>
          <w:sz w:val="36"/>
          <w:szCs w:val="36"/>
        </w:rPr>
        <w:t>绩效评价报告</w:t>
      </w:r>
    </w:p>
    <w:p>
      <w:pPr>
        <w:spacing w:line="800" w:lineRule="exact"/>
        <w:rPr>
          <w:rFonts w:hint="eastAsia" w:ascii="楷体" w:hAnsi="楷体" w:eastAsia="楷体" w:cs="楷体"/>
          <w:b/>
          <w:sz w:val="36"/>
          <w:szCs w:val="36"/>
        </w:rPr>
      </w:pPr>
    </w:p>
    <w:p>
      <w:pPr>
        <w:spacing w:line="800" w:lineRule="exact"/>
        <w:ind w:firstLine="1205" w:firstLineChars="400"/>
        <w:rPr>
          <w:rFonts w:hint="eastAsia" w:ascii="楷体" w:hAnsi="楷体" w:eastAsia="楷体" w:cs="楷体"/>
          <w:b/>
          <w:bCs w:val="0"/>
          <w:sz w:val="30"/>
          <w:szCs w:val="30"/>
        </w:rPr>
      </w:pPr>
    </w:p>
    <w:p>
      <w:pPr>
        <w:spacing w:line="800" w:lineRule="exact"/>
        <w:ind w:firstLine="1488" w:firstLineChars="494"/>
        <w:rPr>
          <w:rFonts w:hint="eastAsia" w:ascii="楷体" w:hAnsi="楷体" w:eastAsia="楷体" w:cs="楷体"/>
          <w:b/>
          <w:bCs w:val="0"/>
          <w:sz w:val="30"/>
          <w:szCs w:val="30"/>
          <w:lang w:eastAsia="zh-CN"/>
        </w:rPr>
      </w:pPr>
      <w:r>
        <w:rPr>
          <w:rFonts w:hint="eastAsia" w:ascii="楷体" w:hAnsi="楷体" w:eastAsia="楷体" w:cs="楷体"/>
          <w:b/>
          <w:bCs w:val="0"/>
          <w:sz w:val="30"/>
          <w:szCs w:val="30"/>
        </w:rPr>
        <w:t xml:space="preserve">项目名称 </w:t>
      </w:r>
      <w:r>
        <w:rPr>
          <w:rFonts w:hint="eastAsia" w:ascii="楷体" w:hAnsi="楷体" w:eastAsia="楷体" w:cs="楷体"/>
          <w:b/>
          <w:bCs w:val="0"/>
          <w:sz w:val="30"/>
          <w:szCs w:val="30"/>
          <w:lang w:val="en-US" w:eastAsia="zh-CN"/>
        </w:rPr>
        <w:t xml:space="preserve">  2022年度就业补助资金</w:t>
      </w:r>
    </w:p>
    <w:p>
      <w:pPr>
        <w:spacing w:line="800" w:lineRule="exact"/>
        <w:ind w:firstLine="1488" w:firstLineChars="494"/>
        <w:rPr>
          <w:rFonts w:hint="eastAsia" w:ascii="楷体" w:hAnsi="楷体" w:eastAsia="楷体" w:cs="楷体"/>
          <w:b/>
          <w:bCs w:val="0"/>
          <w:sz w:val="30"/>
          <w:szCs w:val="30"/>
          <w:lang w:eastAsia="zh-CN"/>
        </w:rPr>
      </w:pPr>
      <w:r>
        <w:rPr>
          <w:rFonts w:hint="eastAsia" w:ascii="楷体" w:hAnsi="楷体" w:eastAsia="楷体" w:cs="楷体"/>
          <w:b/>
          <w:bCs w:val="0"/>
          <w:sz w:val="30"/>
          <w:szCs w:val="30"/>
        </w:rPr>
        <w:t xml:space="preserve">项目单位 </w:t>
      </w:r>
      <w:r>
        <w:rPr>
          <w:rFonts w:hint="eastAsia" w:ascii="楷体" w:hAnsi="楷体" w:eastAsia="楷体" w:cs="楷体"/>
          <w:b/>
          <w:bCs w:val="0"/>
          <w:sz w:val="30"/>
          <w:szCs w:val="30"/>
          <w:lang w:eastAsia="zh-CN"/>
        </w:rPr>
        <w:t xml:space="preserve">  岳阳市云溪区就业服务中心</w:t>
      </w:r>
    </w:p>
    <w:p>
      <w:pPr>
        <w:spacing w:line="800" w:lineRule="exact"/>
        <w:ind w:firstLine="1488" w:firstLineChars="494"/>
        <w:rPr>
          <w:rFonts w:hint="eastAsia" w:ascii="楷体" w:hAnsi="楷体" w:eastAsia="楷体" w:cs="楷体"/>
          <w:b/>
          <w:bCs w:val="0"/>
          <w:sz w:val="30"/>
          <w:szCs w:val="30"/>
        </w:rPr>
      </w:pPr>
      <w:r>
        <w:rPr>
          <w:rFonts w:hint="eastAsia" w:ascii="楷体" w:hAnsi="楷体" w:eastAsia="楷体" w:cs="楷体"/>
          <w:b/>
          <w:bCs w:val="0"/>
          <w:sz w:val="30"/>
          <w:szCs w:val="30"/>
        </w:rPr>
        <w:t xml:space="preserve">委托单位   </w:t>
      </w:r>
      <w:r>
        <w:rPr>
          <w:rFonts w:hint="eastAsia" w:ascii="楷体" w:hAnsi="楷体" w:eastAsia="楷体" w:cs="楷体"/>
          <w:b/>
          <w:bCs w:val="0"/>
          <w:sz w:val="30"/>
          <w:szCs w:val="30"/>
          <w:lang w:val="en-US" w:eastAsia="zh-CN"/>
        </w:rPr>
        <w:t>云溪区财政局</w:t>
      </w:r>
    </w:p>
    <w:p>
      <w:pPr>
        <w:spacing w:line="800" w:lineRule="exact"/>
        <w:ind w:firstLine="1488" w:firstLineChars="494"/>
        <w:rPr>
          <w:rFonts w:hint="eastAsia" w:ascii="楷体" w:hAnsi="楷体" w:eastAsia="楷体" w:cs="楷体"/>
          <w:b/>
          <w:bCs w:val="0"/>
          <w:sz w:val="32"/>
          <w:szCs w:val="32"/>
        </w:rPr>
      </w:pPr>
      <w:r>
        <w:rPr>
          <w:rFonts w:hint="eastAsia" w:ascii="楷体" w:hAnsi="楷体" w:eastAsia="楷体" w:cs="楷体"/>
          <w:b/>
          <w:bCs w:val="0"/>
          <w:sz w:val="30"/>
          <w:szCs w:val="30"/>
        </w:rPr>
        <w:t xml:space="preserve">评价机构   </w:t>
      </w:r>
      <w:r>
        <w:rPr>
          <w:rFonts w:hint="eastAsia" w:ascii="楷体" w:hAnsi="楷体" w:eastAsia="楷体" w:cs="楷体"/>
          <w:b/>
          <w:bCs w:val="0"/>
          <w:sz w:val="30"/>
          <w:szCs w:val="30"/>
          <w:lang w:eastAsia="zh-CN"/>
        </w:rPr>
        <w:t>湖南公众会计师事务所有限公司</w:t>
      </w:r>
      <w:r>
        <w:rPr>
          <w:rFonts w:hint="eastAsia" w:ascii="楷体" w:hAnsi="楷体" w:eastAsia="楷体" w:cs="楷体"/>
          <w:b/>
          <w:bCs w:val="0"/>
          <w:sz w:val="30"/>
          <w:szCs w:val="30"/>
        </w:rPr>
        <w:t xml:space="preserve"> </w:t>
      </w:r>
      <w:r>
        <w:rPr>
          <w:rFonts w:hint="eastAsia" w:ascii="楷体" w:hAnsi="楷体" w:eastAsia="楷体" w:cs="楷体"/>
          <w:b/>
          <w:bCs w:val="0"/>
          <w:sz w:val="32"/>
          <w:szCs w:val="32"/>
        </w:rPr>
        <w:t xml:space="preserve"> </w:t>
      </w:r>
    </w:p>
    <w:p>
      <w:pPr>
        <w:spacing w:line="800" w:lineRule="exact"/>
        <w:ind w:firstLine="1476" w:firstLineChars="490"/>
        <w:rPr>
          <w:rFonts w:hint="eastAsia" w:ascii="楷体" w:hAnsi="楷体" w:eastAsia="楷体" w:cs="楷体"/>
          <w:b/>
          <w:bCs w:val="0"/>
          <w:sz w:val="30"/>
          <w:szCs w:val="30"/>
        </w:rPr>
      </w:pPr>
    </w:p>
    <w:p>
      <w:pPr>
        <w:pStyle w:val="34"/>
        <w:rPr>
          <w:rFonts w:hint="eastAsia" w:ascii="楷体" w:hAnsi="楷体" w:eastAsia="楷体" w:cs="楷体"/>
          <w:b/>
          <w:sz w:val="24"/>
        </w:rPr>
      </w:pPr>
    </w:p>
    <w:p>
      <w:pPr>
        <w:pStyle w:val="34"/>
        <w:rPr>
          <w:rFonts w:hint="eastAsia" w:ascii="楷体" w:hAnsi="楷体" w:eastAsia="楷体" w:cs="楷体"/>
          <w:b/>
          <w:sz w:val="24"/>
        </w:rPr>
      </w:pP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评价类型 事前评价□ 事中评价□ 事后评价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评价方式：部门（单位绩效自评□ 财政部门组织评价</w:t>
      </w:r>
      <w:r>
        <w:rPr>
          <w:rFonts w:hint="eastAsia" w:ascii="楷体" w:hAnsi="楷体" w:eastAsia="楷体" w:cs="楷体"/>
          <w:b/>
          <w:sz w:val="24"/>
          <w:bdr w:val="single" w:color="auto" w:sz="4" w:space="0"/>
        </w:rPr>
        <w:t>√</w:t>
      </w:r>
    </w:p>
    <w:p>
      <w:pPr>
        <w:spacing w:line="800" w:lineRule="exact"/>
        <w:ind w:firstLine="1446" w:firstLineChars="600"/>
        <w:rPr>
          <w:rFonts w:hint="eastAsia" w:ascii="楷体" w:hAnsi="楷体" w:eastAsia="楷体" w:cs="楷体"/>
          <w:b/>
          <w:sz w:val="24"/>
        </w:rPr>
      </w:pPr>
      <w:r>
        <w:rPr>
          <w:rFonts w:hint="eastAsia" w:ascii="楷体" w:hAnsi="楷体" w:eastAsia="楷体" w:cs="楷体"/>
          <w:b/>
          <w:sz w:val="24"/>
        </w:rPr>
        <w:t>评价机构：中介机构</w:t>
      </w:r>
      <w:r>
        <w:rPr>
          <w:rFonts w:hint="eastAsia" w:ascii="楷体" w:hAnsi="楷体" w:eastAsia="楷体" w:cs="楷体"/>
          <w:b/>
          <w:sz w:val="24"/>
          <w:bdr w:val="single" w:color="auto" w:sz="4" w:space="0"/>
        </w:rPr>
        <w:t>√</w:t>
      </w:r>
      <w:r>
        <w:rPr>
          <w:rFonts w:hint="eastAsia" w:ascii="楷体" w:hAnsi="楷体" w:eastAsia="楷体" w:cs="楷体"/>
          <w:b/>
          <w:sz w:val="24"/>
        </w:rPr>
        <w:t xml:space="preserve"> 部门（单位评价组□财政评价组□</w:t>
      </w:r>
    </w:p>
    <w:p>
      <w:pPr>
        <w:spacing w:line="800" w:lineRule="exact"/>
        <w:rPr>
          <w:rFonts w:hint="eastAsia" w:ascii="楷体" w:hAnsi="楷体" w:eastAsia="楷体" w:cs="楷体"/>
          <w:b/>
          <w:sz w:val="24"/>
        </w:rPr>
      </w:pPr>
    </w:p>
    <w:p>
      <w:pPr>
        <w:spacing w:line="348" w:lineRule="auto"/>
        <w:jc w:val="both"/>
        <w:rPr>
          <w:rFonts w:hint="eastAsia" w:ascii="楷体" w:hAnsi="楷体" w:eastAsia="楷体" w:cs="楷体"/>
          <w:sz w:val="28"/>
          <w:szCs w:val="28"/>
        </w:rPr>
      </w:pPr>
      <w:r>
        <w:rPr>
          <w:rFonts w:hint="eastAsia" w:ascii="楷体" w:hAnsi="楷体" w:eastAsia="楷体" w:cs="楷体"/>
          <w:sz w:val="28"/>
          <w:szCs w:val="28"/>
        </w:rPr>
        <w:t xml:space="preserve"> </w:t>
      </w:r>
    </w:p>
    <w:p>
      <w:pPr>
        <w:pStyle w:val="34"/>
        <w:rPr>
          <w:rFonts w:hint="eastAsia"/>
        </w:rPr>
      </w:pPr>
    </w:p>
    <w:p>
      <w:pPr>
        <w:spacing w:line="348" w:lineRule="auto"/>
        <w:ind w:firstLine="2530" w:firstLineChars="900"/>
        <w:jc w:val="both"/>
        <w:rPr>
          <w:rFonts w:hint="eastAsia" w:ascii="楷体" w:hAnsi="楷体" w:eastAsia="楷体" w:cs="楷体"/>
          <w:b/>
          <w:sz w:val="18"/>
          <w:szCs w:val="18"/>
        </w:rPr>
      </w:pPr>
      <w:r>
        <w:rPr>
          <w:rFonts w:hint="eastAsia" w:ascii="楷体" w:hAnsi="楷体" w:eastAsia="楷体" w:cs="楷体"/>
          <w:b/>
          <w:sz w:val="28"/>
          <w:szCs w:val="28"/>
        </w:rPr>
        <w:t>评价时间：</w:t>
      </w:r>
      <w:r>
        <w:rPr>
          <w:rFonts w:hint="eastAsia" w:ascii="楷体" w:hAnsi="楷体" w:eastAsia="楷体" w:cs="楷体"/>
          <w:b/>
          <w:sz w:val="28"/>
          <w:szCs w:val="28"/>
          <w:lang w:eastAsia="zh-CN"/>
        </w:rPr>
        <w:t>二〇二三年</w:t>
      </w:r>
      <w:r>
        <w:rPr>
          <w:rFonts w:hint="eastAsia" w:ascii="楷体" w:hAnsi="楷体" w:eastAsia="楷体" w:cs="楷体"/>
          <w:b/>
          <w:sz w:val="28"/>
          <w:szCs w:val="28"/>
          <w:lang w:val="en-US" w:eastAsia="zh-CN"/>
        </w:rPr>
        <w:t>八</w:t>
      </w:r>
      <w:r>
        <w:rPr>
          <w:rFonts w:hint="eastAsia" w:ascii="楷体" w:hAnsi="楷体" w:eastAsia="楷体" w:cs="楷体"/>
          <w:b/>
          <w:sz w:val="28"/>
          <w:szCs w:val="28"/>
          <w:lang w:eastAsia="zh-CN"/>
        </w:rPr>
        <w:t>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p>
    <w:p>
      <w:pPr>
        <w:rPr>
          <w:rFonts w:hint="eastAsia" w:ascii="宋体" w:hAnsi="宋体" w:eastAsia="宋体" w:cs="宋体"/>
          <w:b/>
          <w:sz w:val="30"/>
          <w:szCs w:val="30"/>
          <w:lang w:val="en-US" w:eastAsia="zh-CN"/>
        </w:rPr>
      </w:pPr>
    </w:p>
    <w:p>
      <w:pPr>
        <w:pStyle w:val="2"/>
        <w:rPr>
          <w:rFonts w:hint="eastAsia"/>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602" w:firstLineChars="200"/>
        <w:jc w:val="center"/>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目  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lear" w:pos="1282"/>
        </w:tabs>
        <w:kinsoku/>
        <w:wordWrap/>
        <w:overflowPunct/>
        <w:topLinePunct w:val="0"/>
        <w:autoSpaceDE/>
        <w:autoSpaceDN/>
        <w:bidi w:val="0"/>
        <w:adjustRightInd w:val="0"/>
        <w:snapToGrid w:val="0"/>
        <w:spacing w:before="0" w:beforeAutospacing="0" w:after="0" w:afterAutospacing="0" w:line="360" w:lineRule="auto"/>
        <w:ind w:right="0" w:rightChars="0"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一、项目</w:t>
      </w:r>
      <w:r>
        <w:rPr>
          <w:rFonts w:hint="eastAsia" w:ascii="宋体" w:hAnsi="宋体" w:eastAsia="宋体" w:cs="宋体"/>
          <w:b/>
          <w:sz w:val="24"/>
          <w:szCs w:val="24"/>
          <w:lang w:eastAsia="zh-CN"/>
        </w:rPr>
        <w:t>概况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一</w:t>
      </w:r>
      <w:r>
        <w:rPr>
          <w:rFonts w:hint="eastAsia" w:ascii="宋体" w:hAnsi="宋体" w:eastAsia="宋体" w:cs="宋体"/>
          <w:b w:val="0"/>
          <w:bCs/>
          <w:sz w:val="24"/>
          <w:szCs w:val="24"/>
        </w:rPr>
        <w:t>）项目评价依据</w:t>
      </w:r>
    </w:p>
    <w:p>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（二）项目单位基本情况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cs="宋体"/>
          <w:b w:val="0"/>
          <w:bCs/>
          <w:sz w:val="24"/>
          <w:szCs w:val="24"/>
          <w:lang w:val="zh-CN"/>
        </w:rPr>
        <w:t>（</w:t>
      </w:r>
      <w:r>
        <w:rPr>
          <w:rFonts w:hint="eastAsia" w:ascii="宋体" w:hAnsi="宋体" w:cs="宋体"/>
          <w:b w:val="0"/>
          <w:bCs/>
          <w:sz w:val="24"/>
          <w:szCs w:val="24"/>
          <w:lang w:val="en-US" w:eastAsia="zh-CN"/>
        </w:rPr>
        <w:t>三</w:t>
      </w:r>
      <w:r>
        <w:rPr>
          <w:rFonts w:hint="eastAsia" w:ascii="宋体" w:hAnsi="宋体" w:cs="宋体"/>
          <w:b w:val="0"/>
          <w:bCs/>
          <w:sz w:val="24"/>
          <w:szCs w:val="24"/>
          <w:lang w:val="zh-CN"/>
        </w:rPr>
        <w:t>）</w:t>
      </w:r>
      <w:r>
        <w:rPr>
          <w:rFonts w:hint="eastAsia" w:ascii="宋体" w:hAnsi="宋体" w:eastAsia="宋体" w:cs="宋体"/>
          <w:b w:val="0"/>
          <w:bCs/>
          <w:sz w:val="24"/>
          <w:szCs w:val="24"/>
          <w:lang w:val="zh-CN"/>
        </w:rPr>
        <w:t>项目基本情况</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（四）项目绩效目标及项目的主要内容</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1、项目总体目标</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eastAsia="zh-CN"/>
        </w:rPr>
        <w:t>具体目标</w:t>
      </w:r>
    </w:p>
    <w:p>
      <w:pPr>
        <w:keepNext w:val="0"/>
        <w:keepLines w:val="0"/>
        <w:pageBreakBefore w:val="0"/>
        <w:widowControl w:val="0"/>
        <w:kinsoku/>
        <w:wordWrap/>
        <w:overflowPunct/>
        <w:topLinePunct w:val="0"/>
        <w:bidi w:val="0"/>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预算</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资金来源和到位情况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实际使用资金情况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4、资金结余情况</w:t>
      </w:r>
    </w:p>
    <w:p>
      <w:pPr>
        <w:keepNext w:val="0"/>
        <w:keepLines w:val="0"/>
        <w:pageBreakBefore w:val="0"/>
        <w:widowControl w:val="0"/>
        <w:kinsoku/>
        <w:wordWrap/>
        <w:overflowPunct/>
        <w:topLinePunct w:val="0"/>
        <w:bidi w:val="0"/>
        <w:snapToGrid/>
        <w:spacing w:line="240" w:lineRule="auto"/>
        <w:ind w:firstLine="720" w:firstLineChars="300"/>
        <w:textAlignment w:val="auto"/>
        <w:outlineLvl w:val="9"/>
        <w:rPr>
          <w:rFonts w:hint="eastAsia" w:ascii="宋体" w:hAnsi="宋体" w:eastAsia="宋体" w:cs="宋体"/>
          <w:b/>
          <w:sz w:val="24"/>
          <w:szCs w:val="24"/>
          <w:lang w:eastAsia="zh-CN"/>
        </w:rPr>
      </w:pPr>
      <w:r>
        <w:rPr>
          <w:rFonts w:hint="eastAsia" w:ascii="宋体" w:hAnsi="宋体" w:eastAsia="宋体" w:cs="宋体"/>
          <w:b w:val="0"/>
          <w:bCs/>
          <w:sz w:val="24"/>
          <w:szCs w:val="24"/>
          <w:lang w:val="en-US" w:eastAsia="zh-CN"/>
        </w:rPr>
        <w:t>5、资金管理制度情况</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二、绩效评价工作情况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（一）绩效评价的目的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（二）绩效评价原则、指标体系</w:t>
      </w:r>
      <w:r>
        <w:rPr>
          <w:rFonts w:hint="eastAsia" w:ascii="宋体" w:hAnsi="宋体" w:eastAsia="宋体" w:cs="宋体"/>
          <w:b w:val="0"/>
          <w:bCs/>
          <w:sz w:val="24"/>
          <w:szCs w:val="24"/>
          <w:lang w:eastAsia="zh-CN"/>
        </w:rPr>
        <w:t>及</w:t>
      </w:r>
      <w:r>
        <w:rPr>
          <w:rFonts w:hint="eastAsia" w:ascii="宋体" w:hAnsi="宋体" w:eastAsia="宋体" w:cs="宋体"/>
          <w:b w:val="0"/>
          <w:bCs/>
          <w:sz w:val="24"/>
          <w:szCs w:val="24"/>
        </w:rPr>
        <w:t>标准和评价方法</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绩效评价原则</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绩效指标体系及标准</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cs="宋体"/>
          <w:b w:val="0"/>
          <w:bCs/>
          <w:sz w:val="24"/>
          <w:szCs w:val="24"/>
          <w:lang w:val="en-US" w:eastAsia="zh-CN"/>
        </w:rPr>
        <w:t>、</w:t>
      </w:r>
      <w:r>
        <w:rPr>
          <w:rFonts w:hint="eastAsia" w:ascii="宋体" w:hAnsi="宋体" w:eastAsia="宋体" w:cs="宋体"/>
          <w:b w:val="0"/>
          <w:bCs/>
          <w:sz w:val="24"/>
          <w:szCs w:val="24"/>
        </w:rPr>
        <w:t>绩效评价方法和内容</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（三）绩效评价工作实施过程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eastAsia="zh-CN"/>
        </w:rPr>
        <w:t>、</w:t>
      </w:r>
      <w:r>
        <w:rPr>
          <w:rFonts w:hint="eastAsia" w:ascii="宋体" w:hAnsi="宋体" w:eastAsia="宋体" w:cs="宋体"/>
          <w:b w:val="0"/>
          <w:bCs/>
          <w:sz w:val="24"/>
          <w:szCs w:val="24"/>
        </w:rPr>
        <w:t>前期准备</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组织实施过程</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eastAsia="zh-CN"/>
        </w:rPr>
        <w:t>、</w:t>
      </w:r>
      <w:r>
        <w:rPr>
          <w:rFonts w:hint="eastAsia" w:ascii="宋体" w:hAnsi="宋体" w:eastAsia="宋体" w:cs="宋体"/>
          <w:b w:val="0"/>
          <w:bCs/>
          <w:sz w:val="24"/>
          <w:szCs w:val="24"/>
        </w:rPr>
        <w:t>分析评价</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（四）绩效目标的实现程度</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项目产出完成情况及分析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产出质量情况分析</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3、产出时效</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4、成本控制</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项目公开、公正</w:t>
      </w:r>
    </w:p>
    <w:p>
      <w:pPr>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项目完成后效果</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（五）</w:t>
      </w:r>
      <w:r>
        <w:rPr>
          <w:rFonts w:hint="eastAsia" w:ascii="宋体" w:hAnsi="宋体" w:eastAsia="宋体" w:cs="宋体"/>
          <w:b w:val="0"/>
          <w:bCs/>
          <w:sz w:val="24"/>
          <w:szCs w:val="24"/>
        </w:rPr>
        <w:t>项目绩效评价结论</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存在问题及原因分析</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（一）项目目标方面</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（二）项目支出与财务管理方面</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四、有关建议</w:t>
      </w:r>
    </w:p>
    <w:p>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五、其他需要说明的问题</w:t>
      </w:r>
    </w:p>
    <w:p>
      <w:pPr>
        <w:tabs>
          <w:tab w:val="left" w:pos="2835"/>
          <w:tab w:val="left" w:pos="4725"/>
        </w:tabs>
        <w:spacing w:line="940" w:lineRule="exact"/>
        <w:jc w:val="both"/>
        <w:outlineLvl w:val="1"/>
        <w:rPr>
          <w:rFonts w:hint="eastAsia" w:ascii="黑体" w:hAnsi="宋体" w:eastAsia="黑体"/>
          <w:spacing w:val="-16"/>
          <w:w w:val="66"/>
          <w:sz w:val="96"/>
          <w:szCs w:val="96"/>
          <w:lang w:eastAsia="zh-CN"/>
        </w:rPr>
      </w:pPr>
    </w:p>
    <w:p>
      <w:pPr>
        <w:tabs>
          <w:tab w:val="left" w:pos="2835"/>
          <w:tab w:val="left" w:pos="4725"/>
        </w:tabs>
        <w:spacing w:line="940" w:lineRule="exact"/>
        <w:jc w:val="center"/>
        <w:outlineLvl w:val="1"/>
        <w:rPr>
          <w:rFonts w:hint="eastAsia" w:ascii="黑体" w:hAnsi="宋体" w:eastAsia="黑体"/>
          <w:spacing w:val="-16"/>
          <w:w w:val="66"/>
          <w:sz w:val="96"/>
          <w:szCs w:val="96"/>
          <w:lang w:eastAsia="zh-CN"/>
        </w:rPr>
      </w:pPr>
      <w:r>
        <w:rPr>
          <w:rFonts w:hint="eastAsia" w:ascii="黑体" w:hAnsi="宋体" w:eastAsia="黑体"/>
          <w:spacing w:val="-16"/>
          <w:w w:val="66"/>
          <w:sz w:val="96"/>
          <w:szCs w:val="96"/>
          <w:lang w:eastAsia="zh-CN"/>
        </w:rPr>
        <w:t>湖南公众会计师事务所有限公司</w:t>
      </w:r>
    </w:p>
    <w:p>
      <w:pPr>
        <w:keepNext/>
        <w:snapToGrid w:val="0"/>
        <w:spacing w:line="240" w:lineRule="atLeast"/>
        <w:jc w:val="center"/>
        <w:outlineLvl w:val="0"/>
        <w:rPr>
          <w:rFonts w:ascii="黑体" w:hAnsi="Times New Roman"/>
          <w:b/>
          <w:bCs/>
          <w:w w:val="80"/>
          <w:sz w:val="28"/>
        </w:rPr>
      </w:pPr>
      <w:r>
        <w:rPr>
          <w:rFonts w:hint="eastAsia" w:ascii="宋体" w:hAnsi="宋体"/>
          <w:b/>
          <w:bCs/>
          <w:sz w:val="26"/>
        </w:rPr>
        <w:t>HUNAN GONGZHONG CERTIFIED PUBLIC ACCOUNTANTS CO.LTD</w:t>
      </w:r>
    </w:p>
    <w:p>
      <w:pPr>
        <w:adjustRightInd w:val="0"/>
        <w:snapToGrid w:val="0"/>
        <w:spacing w:line="760" w:lineRule="exact"/>
        <w:jc w:val="center"/>
        <w:outlineLvl w:val="0"/>
        <w:rPr>
          <w:rFonts w:hint="eastAsia" w:ascii="楷体_GB2312" w:hAnsi="宋体" w:eastAsia="楷体_GB2312"/>
          <w:b/>
          <w:spacing w:val="20"/>
          <w:sz w:val="36"/>
          <w:szCs w:val="36"/>
          <w:highlight w:val="none"/>
          <w:lang w:eastAsia="zh-CN"/>
        </w:rPr>
      </w:pPr>
      <w:r>
        <w:rPr>
          <w:rFonts w:hint="eastAsia" w:ascii="楷体_GB2312" w:hAnsi="宋体" w:eastAsia="楷体_GB2312"/>
          <w:b/>
          <w:spacing w:val="20"/>
          <w:sz w:val="36"/>
          <w:szCs w:val="36"/>
          <w:lang w:eastAsia="zh-CN"/>
        </w:rPr>
        <w:t>湘公会</w:t>
      </w:r>
      <w:r>
        <w:rPr>
          <w:rFonts w:hint="eastAsia" w:ascii="楷体_GB2312" w:hAnsi="宋体" w:eastAsia="楷体_GB2312"/>
          <w:b/>
          <w:spacing w:val="20"/>
          <w:sz w:val="36"/>
          <w:szCs w:val="36"/>
          <w:highlight w:val="none"/>
          <w:lang w:eastAsia="zh-CN"/>
        </w:rPr>
        <w:t>司（</w:t>
      </w:r>
      <w:r>
        <w:rPr>
          <w:rFonts w:hint="eastAsia" w:ascii="楷体_GB2312" w:hAnsi="宋体" w:eastAsia="楷体_GB2312"/>
          <w:b/>
          <w:spacing w:val="20"/>
          <w:sz w:val="36"/>
          <w:szCs w:val="36"/>
          <w:highlight w:val="none"/>
          <w:lang w:val="en-US" w:eastAsia="zh-CN"/>
        </w:rPr>
        <w:t>绩）</w:t>
      </w:r>
      <w:r>
        <w:rPr>
          <w:rFonts w:hint="eastAsia" w:ascii="楷体_GB2312" w:hAnsi="宋体" w:eastAsia="楷体_GB2312"/>
          <w:b/>
          <w:spacing w:val="20"/>
          <w:sz w:val="36"/>
          <w:szCs w:val="36"/>
          <w:highlight w:val="none"/>
          <w:lang w:eastAsia="zh-CN"/>
        </w:rPr>
        <w:t>字[2023]第 号</w:t>
      </w:r>
    </w:p>
    <w:p>
      <w:pPr>
        <w:adjustRightInd w:val="0"/>
        <w:snapToGrid w:val="0"/>
        <w:spacing w:line="760" w:lineRule="exact"/>
        <w:jc w:val="center"/>
        <w:outlineLvl w:val="0"/>
        <w:rPr>
          <w:rFonts w:hint="default"/>
          <w:lang w:val="en-US" w:eastAsia="zh-CN"/>
        </w:rPr>
      </w:pPr>
      <w:r>
        <w:rPr>
          <w:rFonts w:hint="eastAsia" w:ascii="宋体" w:hAnsi="宋体" w:cs="宋体"/>
          <w:b/>
          <w:bCs w:val="0"/>
          <w:sz w:val="32"/>
          <w:szCs w:val="32"/>
          <w:lang w:val="en-US" w:eastAsia="zh-CN"/>
        </w:rPr>
        <w:t xml:space="preserve">  云溪区就业服务中心2022年度就业补助资金</w:t>
      </w:r>
    </w:p>
    <w:p>
      <w:pPr>
        <w:spacing w:line="760" w:lineRule="exact"/>
        <w:jc w:val="center"/>
        <w:outlineLvl w:val="0"/>
        <w:rPr>
          <w:rFonts w:hint="eastAsia" w:ascii="黑体" w:hAnsi="宋体" w:eastAsia="黑体"/>
          <w:b/>
          <w:sz w:val="44"/>
        </w:rPr>
      </w:pPr>
      <w:r>
        <w:rPr>
          <w:rFonts w:hint="eastAsia" w:ascii="黑体" w:hAnsi="宋体" w:eastAsia="黑体"/>
          <w:b/>
          <w:sz w:val="44"/>
          <w:lang w:eastAsia="zh-CN"/>
        </w:rPr>
        <w:t>重点</w:t>
      </w:r>
      <w:r>
        <w:rPr>
          <w:rFonts w:hint="eastAsia" w:ascii="黑体" w:hAnsi="宋体" w:eastAsia="黑体"/>
          <w:b/>
          <w:sz w:val="44"/>
        </w:rPr>
        <w:t>绩效评价报告</w:t>
      </w:r>
    </w:p>
    <w:p>
      <w:pPr>
        <w:numPr>
          <w:ilvl w:val="0"/>
          <w:numId w:val="0"/>
        </w:numPr>
        <w:autoSpaceDE w:val="0"/>
        <w:autoSpaceDN w:val="0"/>
        <w:adjustRightInd w:val="0"/>
        <w:ind w:firstLine="640" w:firstLineChars="200"/>
        <w:rPr>
          <w:rFonts w:hint="eastAsia" w:ascii="仿宋_GB2312" w:hAnsi="仿宋_GB2312" w:eastAsia="仿宋_GB2312" w:cs="仿宋_GB2312"/>
          <w:kern w:val="0"/>
          <w:sz w:val="32"/>
          <w:szCs w:val="32"/>
          <w:lang w:val="en-US" w:eastAsia="zh-CN" w:bidi="ar-SA"/>
        </w:rPr>
      </w:pPr>
    </w:p>
    <w:p>
      <w:pPr>
        <w:keepNext w:val="0"/>
        <w:keepLines w:val="0"/>
        <w:pageBreakBefore w:val="0"/>
        <w:numPr>
          <w:ilvl w:val="0"/>
          <w:numId w:val="0"/>
        </w:numPr>
        <w:kinsoku/>
        <w:wordWrap/>
        <w:overflowPunct/>
        <w:topLinePunct w:val="0"/>
        <w:autoSpaceDE w:val="0"/>
        <w:autoSpaceDN w:val="0"/>
        <w:bidi w:val="0"/>
        <w:adjustRightInd w:val="0"/>
        <w:snapToGrid/>
        <w:spacing w:line="15" w:lineRule="auto"/>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云溪区财政局：</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我们接受委托，对岳阳市云溪区就业服务中心（以下简称：“就业服务中心”）组织实施的“2022年度就业补助资金”（以下称“项目”）的项目支出实施绩效评价。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 xml:space="preserve">就业服务中心应当对其所提供的项目绩效评价资料的真实性、合法性和完整性负责。我们的责任是对这些资料发表绩效评价意见。我们的绩效评价意见是根据财政部《财政支出绩效评价管理暂行办法》、中国注册会计师协会《会计师事务所财政支出绩效评价业务指引》等有关文件要求进行的。在绩效评价过程中，我们结合绩效评价项目具体情况及委托要求，对项目资金支出实施绩效评价，现将有关情况报告如下： </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一、项目概况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en-US" w:eastAsia="zh-CN" w:bidi="ar-SA"/>
        </w:rPr>
      </w:pPr>
      <w:r>
        <w:rPr>
          <w:rFonts w:hint="eastAsia" w:asciiTheme="minorEastAsia" w:hAnsiTheme="minorEastAsia" w:eastAsiaTheme="minorEastAsia" w:cstheme="minorEastAsia"/>
          <w:b/>
          <w:bCs/>
          <w:kern w:val="0"/>
          <w:sz w:val="28"/>
          <w:szCs w:val="28"/>
          <w:lang w:val="en-US" w:eastAsia="zh-CN" w:bidi="ar-SA"/>
        </w:rPr>
        <w:t>（一）项目评价依据</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1、《岳阳市云溪区财政局关于全面开展2023年财政资金绩效评价工作的通知》文件（以下简称《通知》）。</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2、《岳阳市预算绩效管理实施办法》（岳办发〔2020〕4号）</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3、《行政事业单位财务管理制度》等相</w:t>
      </w:r>
      <w:r>
        <w:rPr>
          <w:rFonts w:hint="eastAsia" w:asciiTheme="minorEastAsia" w:hAnsiTheme="minorEastAsia" w:eastAsiaTheme="minorEastAsia" w:cstheme="minorEastAsia"/>
          <w:kern w:val="0"/>
          <w:sz w:val="28"/>
          <w:szCs w:val="28"/>
          <w:lang w:val="en-US" w:eastAsia="zh-CN" w:bidi="ar-SA"/>
        </w:rPr>
        <w:t>关规定。</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4、项目单位绩效自评资料、年度工作总结、财务资料等其他相关资料。</w:t>
      </w:r>
    </w:p>
    <w:p>
      <w:pPr>
        <w:pStyle w:val="34"/>
        <w:rPr>
          <w:rFonts w:hint="default"/>
          <w:lang w:val="en-US" w:eastAsia="zh-CN"/>
        </w:rPr>
      </w:pP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zh-CN" w:eastAsia="zh-CN" w:bidi="ar-SA"/>
        </w:rPr>
      </w:pPr>
      <w:r>
        <w:rPr>
          <w:rFonts w:hint="eastAsia" w:asciiTheme="minorEastAsia" w:hAnsiTheme="minorEastAsia" w:eastAsiaTheme="minorEastAsia" w:cstheme="minorEastAsia"/>
          <w:b/>
          <w:bCs/>
          <w:kern w:val="0"/>
          <w:sz w:val="28"/>
          <w:szCs w:val="28"/>
          <w:lang w:val="zh-CN" w:eastAsia="zh-CN" w:bidi="ar-SA"/>
        </w:rPr>
        <w:t>（二）项目单位基本情况</w:t>
      </w:r>
    </w:p>
    <w:p>
      <w:pPr>
        <w:ind w:firstLine="560" w:firstLineChars="200"/>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云溪区就业服务中心是区就业服务中心所属公益类事业机构，为副科级。主要职责是：负责贯彻实施失业保险政策，负责失业保险基金征缴、支付运营和管理工作，负责失业保险基金征缴稽核；开展区域内劳动力市场管理工作，规范劳动力市场用工和就业行为，收集用人供求信息，组织开展职业指导、职业介绍和劳务输出工作；负责辖区内失业人员登记和就业失业登记证的发放；负责下岗职工和失业人员转岗技能培训、农村转移就业人员和城镇待业人员的职业培训和创业培训；负责技术工种人员职业技能鉴定和培训；负责建立健全社区就业创业服务平台，指导开展就业创业服务工作；负责宣传就业创业优惠政策，负责落实各项就业创业优惠政策，开发公益性就业岗位，安置就业困难人员就业。</w:t>
      </w:r>
    </w:p>
    <w:p>
      <w:pPr>
        <w:ind w:firstLine="548" w:firstLineChars="196"/>
        <w:rPr>
          <w:rFonts w:hint="default"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根据上述主要职责，区就业服务中心设办公室、失业保险股、城镇社区就业服务股、创业服务股(创业贷款担保中心)、劳动力市场管理股（职业介绍中心）、职业培训和职业技能鉴定股（培训中心）等6个内设机构。核定全额拨款事业编制12名，设主任1名，副主任2名，内设机构负责人（副股级）6名。</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bCs/>
          <w:kern w:val="0"/>
          <w:sz w:val="28"/>
          <w:szCs w:val="28"/>
          <w:lang w:val="zh-CN" w:eastAsia="zh-CN" w:bidi="ar-SA"/>
        </w:rPr>
      </w:pPr>
      <w:r>
        <w:rPr>
          <w:rFonts w:hint="eastAsia" w:asciiTheme="minorEastAsia" w:hAnsiTheme="minorEastAsia" w:eastAsiaTheme="minorEastAsia" w:cstheme="minorEastAsia"/>
          <w:b/>
          <w:bCs/>
          <w:kern w:val="0"/>
          <w:sz w:val="28"/>
          <w:szCs w:val="28"/>
          <w:lang w:val="zh-CN" w:eastAsia="zh-CN" w:bidi="ar-SA"/>
        </w:rPr>
        <w:t>（三）项目基本情况</w:t>
      </w:r>
    </w:p>
    <w:p>
      <w:pPr>
        <w:keepNext w:val="0"/>
        <w:keepLines w:val="0"/>
        <w:pageBreakBefore w:val="0"/>
        <w:numPr>
          <w:ilvl w:val="0"/>
          <w:numId w:val="0"/>
        </w:numPr>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1、根据</w:t>
      </w:r>
      <w:r>
        <w:rPr>
          <w:rFonts w:hint="eastAsia" w:asciiTheme="minorEastAsia" w:hAnsiTheme="minorEastAsia" w:eastAsiaTheme="minorEastAsia" w:cstheme="minorEastAsia"/>
          <w:kern w:val="0"/>
          <w:sz w:val="28"/>
          <w:szCs w:val="28"/>
          <w:highlight w:val="none"/>
          <w:lang w:val="en-US" w:eastAsia="zh-CN" w:bidi="ar-SA"/>
        </w:rPr>
        <w:t>云溪区财政局下发的《岳阳市云溪区财政局关于全面开展2023年财政资金绩效评价工作的通知》文件，本项</w:t>
      </w:r>
      <w:r>
        <w:rPr>
          <w:rFonts w:hint="eastAsia" w:asciiTheme="minorEastAsia" w:hAnsiTheme="minorEastAsia" w:eastAsiaTheme="minorEastAsia" w:cstheme="minorEastAsia"/>
          <w:kern w:val="0"/>
          <w:sz w:val="28"/>
          <w:szCs w:val="28"/>
          <w:lang w:val="en-US" w:eastAsia="zh-CN" w:bidi="ar-SA"/>
        </w:rPr>
        <w:t>目绩效评价范围为：2022年度就业补助资金。</w:t>
      </w:r>
    </w:p>
    <w:p>
      <w:pPr>
        <w:ind w:firstLine="548" w:firstLineChars="196"/>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2、就业专项资金（简称就业资金）是由县级以上人民政府设立，由本级财政部门会同人力资源和社会保障部门管理，专项用于促进就业创业的资金。就业资金的支出范围：就业资金支出分为对个人和单位的补贴、公共就业服务能力建设补助和其他支出三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其他支出为除上述两类支出以外，结合湖南省实际，经省人民政府同意用于促进就业创业方面的支出。</w:t>
      </w:r>
    </w:p>
    <w:p>
      <w:pPr>
        <w:keepNext w:val="0"/>
        <w:keepLines w:val="0"/>
        <w:pageBreakBefore w:val="0"/>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b/>
          <w:sz w:val="28"/>
          <w:szCs w:val="28"/>
          <w:lang w:val="zh-CN"/>
        </w:rPr>
      </w:pPr>
      <w:r>
        <w:rPr>
          <w:rFonts w:hint="eastAsia" w:asciiTheme="minorEastAsia" w:hAnsiTheme="minorEastAsia" w:eastAsiaTheme="minorEastAsia" w:cstheme="minorEastAsia"/>
          <w:b/>
          <w:sz w:val="28"/>
          <w:szCs w:val="28"/>
          <w:lang w:val="zh-CN"/>
        </w:rPr>
        <w:t>（四）项目绩效目标及项目的主要内容</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562" w:firstLineChars="200"/>
        <w:jc w:val="both"/>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lang w:val="en-US" w:eastAsia="zh-CN"/>
        </w:rPr>
        <w:t>1、项目总体目标</w:t>
      </w:r>
      <w:r>
        <w:rPr>
          <w:rFonts w:hint="eastAsia" w:asciiTheme="minorEastAsia" w:hAnsiTheme="minorEastAsia" w:eastAsiaTheme="minorEastAsia" w:cstheme="minorEastAsia"/>
          <w:b/>
          <w:bCs/>
          <w:sz w:val="28"/>
          <w:szCs w:val="28"/>
          <w:highlight w:val="none"/>
          <w:lang w:val="en-US" w:eastAsia="zh-CN"/>
        </w:rPr>
        <w:t>：</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280" w:firstLineChars="100"/>
        <w:jc w:val="both"/>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（1）落实国家和省普惠性的就业创业政策，重点支持就业困难群体就业创业，适度向经济困难、就业工作任务重的地区倾斜，促进各类劳动者公平就业，推动地区间就业协同发展。</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280" w:firstLineChars="100"/>
        <w:jc w:val="both"/>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（2）优化机制设计，奖补结合，充分发挥各级政策执行部门、政策对象等积极性。</w:t>
      </w:r>
    </w:p>
    <w:p>
      <w:pPr>
        <w:pStyle w:val="22"/>
        <w:keepNext w:val="0"/>
        <w:keepLines w:val="0"/>
        <w:pageBreakBefore w:val="0"/>
        <w:widowControl/>
        <w:suppressLineNumbers w:val="0"/>
        <w:kinsoku/>
        <w:wordWrap/>
        <w:overflowPunct/>
        <w:topLinePunct w:val="0"/>
        <w:bidi w:val="0"/>
        <w:snapToGrid/>
        <w:spacing w:before="0" w:beforeAutospacing="0" w:after="0" w:afterAutospacing="0" w:line="15" w:lineRule="auto"/>
        <w:ind w:right="0" w:firstLine="280" w:firstLineChars="100"/>
        <w:jc w:val="both"/>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（3）提高政策可操作性和精准性，加强监督与控制，以绩效导向、结果导向强化就业资金管理。</w:t>
      </w:r>
    </w:p>
    <w:p>
      <w:pPr>
        <w:keepNext w:val="0"/>
        <w:keepLines w:val="0"/>
        <w:pageBreakBefore w:val="0"/>
        <w:numPr>
          <w:ilvl w:val="0"/>
          <w:numId w:val="2"/>
        </w:numPr>
        <w:kinsoku/>
        <w:wordWrap/>
        <w:overflowPunct/>
        <w:topLinePunct w:val="0"/>
        <w:bidi w:val="0"/>
        <w:snapToGrid/>
        <w:spacing w:line="15" w:lineRule="auto"/>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具体目标</w:t>
      </w:r>
    </w:p>
    <w:p>
      <w:pPr>
        <w:keepNext w:val="0"/>
        <w:keepLines w:val="0"/>
        <w:pageBreakBefore w:val="0"/>
        <w:numPr>
          <w:ilvl w:val="0"/>
          <w:numId w:val="3"/>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确保完成年度城镇新增就业目标任务，指标值：2600人。</w:t>
      </w:r>
    </w:p>
    <w:p>
      <w:pPr>
        <w:keepNext w:val="0"/>
        <w:keepLines w:val="0"/>
        <w:pageBreakBefore w:val="0"/>
        <w:numPr>
          <w:ilvl w:val="0"/>
          <w:numId w:val="3"/>
        </w:numPr>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确保完成失业人员再就业目标任务，指标值：700人。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（3）确保完成困难人员再就业目标任务，指标值：200人。</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（4）确保年末高校毕业生总体就业率保持稳定。</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default"/>
          <w:lang w:val="en-US" w:eastAsia="zh-CN"/>
        </w:rPr>
      </w:pPr>
      <w:r>
        <w:rPr>
          <w:rFonts w:hint="eastAsia" w:asciiTheme="minorEastAsia" w:hAnsiTheme="minorEastAsia" w:eastAsiaTheme="minorEastAsia" w:cstheme="minorEastAsia"/>
          <w:kern w:val="0"/>
          <w:sz w:val="28"/>
          <w:szCs w:val="28"/>
          <w:lang w:val="en-US" w:eastAsia="zh-CN" w:bidi="ar-SA"/>
        </w:rPr>
        <w:t>（5）按规定发放职业培训补贴、职业技能鉴定补贴、社会保险补贴、公益性岗位补贴、创业补贴、就业见习补贴、求职创业补贴、就业创业服务补助、高技能人才培养补助等支出以及经省人民政府批准的其他支出项目。</w:t>
      </w:r>
    </w:p>
    <w:p>
      <w:pPr>
        <w:keepNext w:val="0"/>
        <w:keepLines w:val="0"/>
        <w:pageBreakBefore w:val="0"/>
        <w:kinsoku/>
        <w:wordWrap/>
        <w:overflowPunct/>
        <w:topLinePunct w:val="0"/>
        <w:bidi w:val="0"/>
        <w:snapToGrid/>
        <w:spacing w:line="15" w:lineRule="auto"/>
        <w:ind w:firstLine="281" w:firstLineChars="1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项目资金情况</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项目</w:t>
      </w:r>
      <w:r>
        <w:rPr>
          <w:rFonts w:hint="eastAsia" w:asciiTheme="minorEastAsia" w:hAnsiTheme="minorEastAsia" w:eastAsiaTheme="minorEastAsia" w:cstheme="minorEastAsia"/>
          <w:b/>
          <w:sz w:val="28"/>
          <w:szCs w:val="28"/>
          <w:lang w:eastAsia="zh-CN"/>
        </w:rPr>
        <w:t>预算：</w:t>
      </w:r>
      <w:r>
        <w:rPr>
          <w:rFonts w:hint="eastAsia" w:asciiTheme="minorEastAsia" w:hAnsiTheme="minorEastAsia" w:eastAsiaTheme="minorEastAsia" w:cstheme="minorEastAsia"/>
          <w:kern w:val="0"/>
          <w:sz w:val="28"/>
          <w:szCs w:val="28"/>
          <w:lang w:val="en-US" w:eastAsia="zh-CN" w:bidi="ar-SA"/>
        </w:rPr>
        <w:t>年初未申报项目预算</w:t>
      </w:r>
    </w:p>
    <w:p>
      <w:pPr>
        <w:keepNext w:val="0"/>
        <w:keepLines w:val="0"/>
        <w:pageBreakBefore w:val="0"/>
        <w:kinsoku/>
        <w:wordWrap/>
        <w:overflowPunct/>
        <w:topLinePunct w:val="0"/>
        <w:autoSpaceDE w:val="0"/>
        <w:autoSpaceDN w:val="0"/>
        <w:bidi w:val="0"/>
        <w:adjustRightInd w:val="0"/>
        <w:snapToGrid/>
        <w:spacing w:line="15" w:lineRule="auto"/>
        <w:ind w:firstLine="562" w:firstLineChars="200"/>
        <w:textAlignment w:val="auto"/>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资金来源和到位情况</w:t>
      </w:r>
      <w:r>
        <w:rPr>
          <w:rFonts w:hint="eastAsia" w:asciiTheme="minorEastAsia" w:hAnsiTheme="minorEastAsia" w:eastAsiaTheme="minorEastAsia" w:cstheme="minorEastAsia"/>
          <w:b/>
          <w:sz w:val="28"/>
          <w:szCs w:val="28"/>
          <w:lang w:eastAsia="zh-CN"/>
        </w:rPr>
        <w:t>：</w:t>
      </w:r>
    </w:p>
    <w:p>
      <w:pPr>
        <w:keepNext w:val="0"/>
        <w:keepLines w:val="0"/>
        <w:pageBreakBefore w:val="0"/>
        <w:kinsoku/>
        <w:wordWrap/>
        <w:overflowPunct/>
        <w:topLinePunct w:val="0"/>
        <w:autoSpaceDE w:val="0"/>
        <w:autoSpaceDN w:val="0"/>
        <w:bidi w:val="0"/>
        <w:adjustRightInd w:val="0"/>
        <w:snapToGrid/>
        <w:spacing w:line="15" w:lineRule="auto"/>
        <w:ind w:firstLine="560" w:firstLineChars="200"/>
        <w:textAlignment w:val="auto"/>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1）</w:t>
      </w:r>
      <w:r>
        <w:rPr>
          <w:rFonts w:hint="eastAsia" w:asciiTheme="minorEastAsia" w:hAnsiTheme="minorEastAsia" w:eastAsiaTheme="minorEastAsia" w:cstheme="minorEastAsia"/>
          <w:bCs/>
          <w:kern w:val="0"/>
          <w:sz w:val="28"/>
          <w:szCs w:val="28"/>
        </w:rPr>
        <w:t>项目资金来源均为</w:t>
      </w:r>
      <w:r>
        <w:rPr>
          <w:rFonts w:hint="eastAsia" w:asciiTheme="minorEastAsia" w:hAnsiTheme="minorEastAsia" w:eastAsiaTheme="minorEastAsia" w:cstheme="minorEastAsia"/>
          <w:bCs/>
          <w:kern w:val="0"/>
          <w:sz w:val="28"/>
          <w:szCs w:val="28"/>
          <w:highlight w:val="none"/>
        </w:rPr>
        <w:t>财政拨款</w:t>
      </w:r>
      <w:r>
        <w:rPr>
          <w:rFonts w:hint="eastAsia" w:asciiTheme="minorEastAsia" w:hAnsiTheme="minorEastAsia" w:eastAsiaTheme="minorEastAsia" w:cstheme="minorEastAsia"/>
          <w:bCs/>
          <w:sz w:val="28"/>
          <w:szCs w:val="28"/>
        </w:rPr>
        <w:t>。</w:t>
      </w:r>
    </w:p>
    <w:p>
      <w:pPr>
        <w:spacing w:line="560" w:lineRule="exact"/>
        <w:ind w:firstLine="548" w:firstLineChars="196"/>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bCs/>
          <w:sz w:val="28"/>
          <w:szCs w:val="28"/>
          <w:lang w:val="en-US" w:eastAsia="zh-CN"/>
        </w:rPr>
        <w:t>（2）资金到位及时效：2022</w:t>
      </w:r>
      <w:r>
        <w:rPr>
          <w:rFonts w:hint="eastAsia" w:asciiTheme="minorEastAsia" w:hAnsiTheme="minorEastAsia" w:eastAsiaTheme="minorEastAsia" w:cstheme="minorEastAsia"/>
          <w:kern w:val="0"/>
          <w:sz w:val="28"/>
          <w:szCs w:val="28"/>
          <w:lang w:val="en-US" w:eastAsia="zh-CN" w:bidi="ar-SA"/>
        </w:rPr>
        <w:t>年度共计收到资金1014.79万元，其中：上级下达就业补助资金652.66万元，地方财政投入125万元，上年结余236.22万元，利息收入0.91万元，已全部拨付到位，</w:t>
      </w:r>
      <w:r>
        <w:rPr>
          <w:rFonts w:hint="eastAsia" w:asciiTheme="minorEastAsia" w:hAnsiTheme="minorEastAsia" w:eastAsiaTheme="minorEastAsia" w:cstheme="minorEastAsia"/>
          <w:kern w:val="0"/>
          <w:sz w:val="28"/>
          <w:szCs w:val="28"/>
          <w:highlight w:val="none"/>
          <w:lang w:val="en-US" w:eastAsia="zh-CN" w:bidi="ar-SA"/>
        </w:rPr>
        <w:t>明细如下：</w:t>
      </w:r>
    </w:p>
    <w:tbl>
      <w:tblPr>
        <w:tblStyle w:val="25"/>
        <w:tblW w:w="86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6"/>
        <w:gridCol w:w="3213"/>
        <w:gridCol w:w="2000"/>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65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2022年度就业补助资金</w:t>
            </w:r>
            <w:r>
              <w:rPr>
                <w:rFonts w:hint="eastAsia" w:ascii="宋体" w:hAnsi="宋体" w:eastAsia="宋体" w:cs="宋体"/>
                <w:b/>
                <w:bCs/>
                <w:i w:val="0"/>
                <w:iCs w:val="0"/>
                <w:color w:val="000000"/>
                <w:kern w:val="0"/>
                <w:sz w:val="24"/>
                <w:szCs w:val="24"/>
                <w:u w:val="none"/>
                <w:lang w:val="en-US" w:eastAsia="zh-CN" w:bidi="ar"/>
              </w:rPr>
              <w:t>收入</w:t>
            </w:r>
            <w:r>
              <w:rPr>
                <w:rFonts w:hint="eastAsia" w:ascii="宋体" w:hAnsi="宋体" w:cs="宋体"/>
                <w:b/>
                <w:bCs/>
                <w:i w:val="0"/>
                <w:iCs w:val="0"/>
                <w:color w:val="000000"/>
                <w:kern w:val="0"/>
                <w:sz w:val="24"/>
                <w:szCs w:val="24"/>
                <w:u w:val="none"/>
                <w:lang w:val="en-US" w:eastAsia="zh-CN" w:bidi="ar"/>
              </w:rPr>
              <w:t>汇总</w:t>
            </w:r>
            <w:r>
              <w:rPr>
                <w:rFonts w:hint="eastAsia" w:ascii="宋体" w:hAnsi="宋体" w:eastAsia="宋体" w:cs="宋体"/>
                <w:b/>
                <w:bCs/>
                <w:i w:val="0"/>
                <w:iCs w:val="0"/>
                <w:color w:val="000000"/>
                <w:kern w:val="0"/>
                <w:sz w:val="24"/>
                <w:szCs w:val="24"/>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日期</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项目内容</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市指标文号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2022年4月29日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2022指标金额（提前批）中央资金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岳财预〔2022〕30号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5,277,000.00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2023年6月23日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2022指标金额（提前批）省级资金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岳财预〔2022〕30号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2023年7月4日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区级配套</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2022年11月9日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2022指标金额中央及省级资金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岳财预〔2022180号</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2022年11月9日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上级拨入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上年结余</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2,362,166.68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2022年3月31日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一季度利息收入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1,266.93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2022年6月23日</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二季度利息收入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2022年9月</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三季度利息收入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四季度利息收入</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合计金额</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10,147,913.04 </w:t>
            </w:r>
          </w:p>
        </w:tc>
      </w:tr>
    </w:tbl>
    <w:p>
      <w:pPr>
        <w:keepNext w:val="0"/>
        <w:keepLines w:val="0"/>
        <w:pageBreakBefore w:val="0"/>
        <w:kinsoku/>
        <w:wordWrap/>
        <w:overflowPunct/>
        <w:topLinePunct w:val="0"/>
        <w:autoSpaceDE w:val="0"/>
        <w:autoSpaceDN w:val="0"/>
        <w:bidi w:val="0"/>
        <w:adjustRightInd w:val="0"/>
        <w:snapToGrid/>
        <w:spacing w:line="15"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SA"/>
        </w:rPr>
        <w:t xml:space="preserve"> </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实际使用资金情况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atLeast"/>
        <w:ind w:firstLine="560"/>
        <w:textAlignment w:val="auto"/>
        <w:rPr>
          <w:rFonts w:hint="default"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云溪区就业专项资金2022年总支出975.12万元，主要用于八个专项补贴，其中：就业创业服务补贴支出247.89万元、职业技能培训补贴支出149.63万元、社保补贴支出14.66万元、公益性岗位补贴支出395.60万元、就业见习补贴支出119.34万元、一次性吸纳就业补贴1.8万元、其他就业补助支出46.20万元，明细如下：</w:t>
      </w:r>
    </w:p>
    <w:tbl>
      <w:tblPr>
        <w:tblStyle w:val="25"/>
        <w:tblW w:w="86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4644"/>
        <w:gridCol w:w="3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629"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2022年度就业补助资金收入汇总表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序列号</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项目内容</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就业创业服务补贴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2,478,883.10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职业技能培训补贴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952,149.00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创业培训补贴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544,200.00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一次性吸纳就业补贴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就业见习补贴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1,193,350.00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3,956,040.00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社保补贴</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146,624.37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461,940.00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合计金额</w:t>
            </w:r>
          </w:p>
        </w:tc>
        <w:tc>
          <w:tcPr>
            <w:tcW w:w="3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9,751,186.47 </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atLeast"/>
        <w:ind w:firstLine="560"/>
        <w:textAlignment w:val="auto"/>
        <w:rPr>
          <w:rFonts w:hint="default" w:asciiTheme="minorEastAsia" w:hAnsiTheme="minorEastAsia" w:eastAsiaTheme="minorEastAsia" w:cstheme="minorEastAsia"/>
          <w:bCs/>
          <w:kern w:val="2"/>
          <w:sz w:val="28"/>
          <w:szCs w:val="28"/>
          <w:lang w:val="en-US" w:eastAsia="zh-CN" w:bidi="ar-SA"/>
        </w:rPr>
      </w:pPr>
    </w:p>
    <w:p>
      <w:pPr>
        <w:spacing w:line="600" w:lineRule="exact"/>
        <w:ind w:firstLine="562" w:firstLineChars="200"/>
        <w:jc w:val="left"/>
        <w:rPr>
          <w:rFonts w:hint="eastAsia" w:ascii="宋体" w:hAnsi="宋体" w:cs="宋体"/>
          <w:b w:val="0"/>
          <w:bCs w:val="0"/>
          <w:kern w:val="2"/>
          <w:sz w:val="28"/>
          <w:szCs w:val="28"/>
          <w:highlight w:val="yellow"/>
          <w:lang w:val="en-US" w:eastAsia="zh-CN" w:bidi="ar-SA"/>
        </w:rPr>
      </w:pPr>
      <w:r>
        <w:rPr>
          <w:rFonts w:hint="eastAsia" w:asciiTheme="minorEastAsia" w:hAnsiTheme="minorEastAsia" w:eastAsiaTheme="minorEastAsia" w:cstheme="minorEastAsia"/>
          <w:b/>
          <w:bCs/>
          <w:sz w:val="28"/>
          <w:szCs w:val="28"/>
          <w:highlight w:val="none"/>
          <w:lang w:val="en-US" w:eastAsia="zh-CN"/>
        </w:rPr>
        <w:t>4、资金结余情况：</w:t>
      </w:r>
      <w:r>
        <w:rPr>
          <w:rFonts w:hint="eastAsia" w:asciiTheme="minorEastAsia" w:hAnsiTheme="minorEastAsia" w:eastAsiaTheme="minorEastAsia" w:cstheme="minorEastAsia"/>
          <w:b w:val="0"/>
          <w:bCs w:val="0"/>
          <w:sz w:val="28"/>
          <w:szCs w:val="28"/>
          <w:highlight w:val="none"/>
          <w:lang w:val="en-US" w:eastAsia="zh-CN"/>
        </w:rPr>
        <w:t>项目收入</w:t>
      </w:r>
      <w:r>
        <w:rPr>
          <w:rFonts w:hint="eastAsia" w:asciiTheme="minorEastAsia" w:hAnsiTheme="minorEastAsia" w:eastAsiaTheme="minorEastAsia" w:cstheme="minorEastAsia"/>
          <w:b w:val="0"/>
          <w:bCs w:val="0"/>
          <w:kern w:val="0"/>
          <w:sz w:val="28"/>
          <w:szCs w:val="28"/>
          <w:highlight w:val="none"/>
          <w:lang w:val="en-US" w:eastAsia="zh-CN" w:bidi="ar-SA"/>
        </w:rPr>
        <w:t>1014.79万元，</w:t>
      </w:r>
      <w:r>
        <w:rPr>
          <w:rFonts w:hint="eastAsia" w:asciiTheme="minorEastAsia" w:hAnsiTheme="minorEastAsia" w:eastAsiaTheme="minorEastAsia" w:cstheme="minorEastAsia"/>
          <w:b w:val="0"/>
          <w:bCs w:val="0"/>
          <w:sz w:val="28"/>
          <w:szCs w:val="28"/>
          <w:highlight w:val="none"/>
        </w:rPr>
        <w:t>实际</w:t>
      </w:r>
      <w:r>
        <w:rPr>
          <w:rFonts w:hint="eastAsia" w:asciiTheme="minorEastAsia" w:hAnsiTheme="minorEastAsia" w:eastAsiaTheme="minorEastAsia" w:cstheme="minorEastAsia"/>
          <w:b w:val="0"/>
          <w:bCs w:val="0"/>
          <w:sz w:val="28"/>
          <w:szCs w:val="28"/>
          <w:highlight w:val="none"/>
          <w:lang w:eastAsia="zh-CN"/>
        </w:rPr>
        <w:t>共支出</w:t>
      </w:r>
      <w:r>
        <w:rPr>
          <w:rFonts w:hint="eastAsia" w:asciiTheme="minorEastAsia" w:hAnsiTheme="minorEastAsia" w:eastAsiaTheme="minorEastAsia" w:cstheme="minorEastAsia"/>
          <w:b w:val="0"/>
          <w:bCs w:val="0"/>
          <w:kern w:val="2"/>
          <w:sz w:val="28"/>
          <w:szCs w:val="28"/>
          <w:highlight w:val="none"/>
          <w:lang w:val="en-US" w:eastAsia="zh-CN" w:bidi="ar-SA"/>
        </w:rPr>
        <w:t>975.12</w:t>
      </w:r>
      <w:r>
        <w:rPr>
          <w:rFonts w:hint="eastAsia" w:ascii="宋体" w:hAnsi="宋体" w:eastAsia="宋体" w:cs="宋体"/>
          <w:b w:val="0"/>
          <w:bCs w:val="0"/>
          <w:kern w:val="2"/>
          <w:sz w:val="28"/>
          <w:szCs w:val="28"/>
          <w:highlight w:val="none"/>
          <w:lang w:val="en-US" w:eastAsia="zh-CN" w:bidi="ar-SA"/>
        </w:rPr>
        <w:t>万</w:t>
      </w:r>
      <w:r>
        <w:rPr>
          <w:rFonts w:hint="eastAsia" w:ascii="宋体" w:hAnsi="宋体" w:eastAsia="宋体" w:cs="宋体"/>
          <w:b w:val="0"/>
          <w:bCs w:val="0"/>
          <w:sz w:val="28"/>
          <w:szCs w:val="28"/>
          <w:highlight w:val="none"/>
        </w:rPr>
        <w:t>元，</w:t>
      </w:r>
      <w:r>
        <w:rPr>
          <w:rFonts w:hint="eastAsia" w:ascii="宋体" w:hAnsi="宋体" w:cs="宋体"/>
          <w:b w:val="0"/>
          <w:bCs w:val="0"/>
          <w:sz w:val="28"/>
          <w:szCs w:val="28"/>
          <w:highlight w:val="none"/>
          <w:lang w:eastAsia="zh-CN"/>
        </w:rPr>
        <w:t>当年</w:t>
      </w:r>
      <w:r>
        <w:rPr>
          <w:rFonts w:hint="eastAsia" w:ascii="宋体" w:hAnsi="宋体" w:eastAsia="宋体" w:cs="宋体"/>
          <w:b w:val="0"/>
          <w:bCs w:val="0"/>
          <w:kern w:val="2"/>
          <w:sz w:val="28"/>
          <w:szCs w:val="28"/>
          <w:highlight w:val="none"/>
          <w:lang w:val="en-US" w:eastAsia="zh-CN" w:bidi="ar-SA"/>
        </w:rPr>
        <w:t>结余</w:t>
      </w:r>
      <w:r>
        <w:rPr>
          <w:rFonts w:hint="eastAsia" w:ascii="宋体" w:hAnsi="宋体" w:cs="宋体"/>
          <w:b w:val="0"/>
          <w:bCs w:val="0"/>
          <w:kern w:val="2"/>
          <w:sz w:val="28"/>
          <w:szCs w:val="28"/>
          <w:highlight w:val="none"/>
          <w:lang w:val="en-US" w:eastAsia="zh-CN" w:bidi="ar-SA"/>
        </w:rPr>
        <w:t>39.67万元。</w:t>
      </w:r>
    </w:p>
    <w:p>
      <w:pPr>
        <w:spacing w:line="60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5、资金管理制度情况</w:t>
      </w:r>
    </w:p>
    <w:p>
      <w:pPr>
        <w:spacing w:line="560" w:lineRule="exact"/>
        <w:ind w:firstLine="560" w:firstLineChars="200"/>
        <w:rPr>
          <w:rFonts w:hint="default"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云溪区就业服务中心制定了《云溪区就业服务中心就业专项资金财务管理制度》以及《就业专项资金内控流程表》，其中包含了财务监管制度以及对每项补贴的申请、审批流程均有详细的说明，云溪就业服务中心提供了《湖南省就业专项资金管理办法》，其中规定了资金支出范围、项目资金分配、审核、拨付等各个重点环节，上述管理制度增强项目透明、程序透明、制度透明，强化申报、审核、拨付、使用、监督相互制约机制，确保资金安全高效运行，以及提供了每个专项支出的相关政策文件，制度齐全。</w:t>
      </w:r>
    </w:p>
    <w:p>
      <w:pPr>
        <w:ind w:firstLine="843" w:firstLineChars="3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二、绩效评价工作情况</w:t>
      </w:r>
    </w:p>
    <w:p>
      <w:pPr>
        <w:ind w:firstLine="689" w:firstLineChars="245"/>
        <w:rPr>
          <w:rFonts w:hint="eastAsia" w:asciiTheme="minorEastAsia" w:hAnsiTheme="minorEastAsia" w:eastAsiaTheme="minorEastAsia" w:cstheme="minorEastAsia"/>
          <w:b/>
          <w:color w:val="000000"/>
          <w:kern w:val="0"/>
          <w:sz w:val="28"/>
          <w:szCs w:val="28"/>
          <w:highlight w:val="none"/>
        </w:rPr>
      </w:pPr>
      <w:r>
        <w:rPr>
          <w:rFonts w:hint="eastAsia" w:asciiTheme="minorEastAsia" w:hAnsiTheme="minorEastAsia" w:eastAsiaTheme="minorEastAsia" w:cstheme="minorEastAsia"/>
          <w:b/>
          <w:color w:val="000000"/>
          <w:kern w:val="0"/>
          <w:sz w:val="28"/>
          <w:szCs w:val="28"/>
          <w:highlight w:val="none"/>
        </w:rPr>
        <w:t>（一）绩效评价的目的</w:t>
      </w:r>
    </w:p>
    <w:p>
      <w:pPr>
        <w:ind w:firstLine="560"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sz w:val="28"/>
          <w:szCs w:val="28"/>
          <w:highlight w:val="none"/>
        </w:rPr>
        <w:t>通过对项目的绩效评价，了解该项目基本立项情况；项目的资金来源、投向和管理情况；项目组织工作实施情况；项目投入是否达到预期目标；总结经验，分析问题，</w:t>
      </w:r>
      <w:r>
        <w:rPr>
          <w:rFonts w:hint="eastAsia" w:asciiTheme="minorEastAsia" w:hAnsiTheme="minorEastAsia" w:eastAsiaTheme="minorEastAsia" w:cstheme="minorEastAsia"/>
          <w:bCs/>
          <w:sz w:val="28"/>
          <w:szCs w:val="28"/>
          <w:highlight w:val="none"/>
        </w:rPr>
        <w:t>优化项目资金管理。</w:t>
      </w:r>
    </w:p>
    <w:p>
      <w:pPr>
        <w:tabs>
          <w:tab w:val="left" w:pos="5760"/>
        </w:tabs>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（二）绩效评价原则、指标体系</w:t>
      </w:r>
      <w:r>
        <w:rPr>
          <w:rFonts w:hint="eastAsia" w:asciiTheme="minorEastAsia" w:hAnsiTheme="minorEastAsia" w:eastAsiaTheme="minorEastAsia" w:cstheme="minorEastAsia"/>
          <w:b/>
          <w:sz w:val="28"/>
          <w:szCs w:val="28"/>
          <w:highlight w:val="none"/>
          <w:lang w:eastAsia="zh-CN"/>
        </w:rPr>
        <w:t>及</w:t>
      </w:r>
      <w:r>
        <w:rPr>
          <w:rFonts w:hint="eastAsia" w:asciiTheme="minorEastAsia" w:hAnsiTheme="minorEastAsia" w:eastAsiaTheme="minorEastAsia" w:cstheme="minorEastAsia"/>
          <w:b/>
          <w:sz w:val="28"/>
          <w:szCs w:val="28"/>
          <w:highlight w:val="none"/>
        </w:rPr>
        <w:t>标准和评价方法</w:t>
      </w:r>
    </w:p>
    <w:p>
      <w:pPr>
        <w:ind w:firstLine="562"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lang w:val="en-US" w:eastAsia="zh-CN"/>
        </w:rPr>
        <w:t>1.</w:t>
      </w:r>
      <w:r>
        <w:rPr>
          <w:rFonts w:hint="eastAsia" w:asciiTheme="minorEastAsia" w:hAnsiTheme="minorEastAsia" w:eastAsiaTheme="minorEastAsia" w:cstheme="minorEastAsia"/>
          <w:b/>
          <w:sz w:val="28"/>
          <w:szCs w:val="28"/>
          <w:highlight w:val="none"/>
        </w:rPr>
        <w:t>绩效评价原则</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遵循科学规范、公正公开和绩效相关的原则。</w:t>
      </w:r>
    </w:p>
    <w:p>
      <w:pPr>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2.绩效指标体系及标准</w:t>
      </w:r>
    </w:p>
    <w:p>
      <w:pPr>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指标体系包括共性和个性指标两部分，本次主要参照了财政局制定的《</w:t>
      </w:r>
      <w:r>
        <w:rPr>
          <w:rFonts w:hint="eastAsia" w:asciiTheme="minorEastAsia" w:hAnsiTheme="minorEastAsia" w:eastAsiaTheme="minorEastAsia" w:cstheme="minorEastAsia"/>
          <w:sz w:val="28"/>
          <w:szCs w:val="28"/>
          <w:highlight w:val="none"/>
          <w:lang w:val="en-US" w:eastAsia="zh-CN"/>
        </w:rPr>
        <w:t>云溪区</w:t>
      </w:r>
      <w:r>
        <w:rPr>
          <w:rFonts w:hint="eastAsia" w:asciiTheme="minorEastAsia" w:hAnsiTheme="minorEastAsia" w:eastAsiaTheme="minorEastAsia" w:cstheme="minorEastAsia"/>
          <w:sz w:val="28"/>
          <w:szCs w:val="28"/>
          <w:highlight w:val="none"/>
        </w:rPr>
        <w:t>项目支出绩效评价指标体系（参考样表）》共性指标体系相关内容，根据项目实施的具体情况对个性指标进行了调整细化，形成了《</w:t>
      </w:r>
      <w:r>
        <w:rPr>
          <w:rFonts w:hint="eastAsia" w:asciiTheme="minorEastAsia" w:hAnsiTheme="minorEastAsia" w:eastAsiaTheme="minorEastAsia" w:cstheme="minorEastAsia"/>
          <w:sz w:val="28"/>
          <w:szCs w:val="28"/>
          <w:highlight w:val="none"/>
          <w:lang w:val="en-US" w:eastAsia="zh-CN"/>
        </w:rPr>
        <w:t>云溪区就业服务中心2022年度就业补助资金绩效评价指标体系</w:t>
      </w:r>
      <w:r>
        <w:rPr>
          <w:rFonts w:hint="eastAsia" w:asciiTheme="minorEastAsia" w:hAnsiTheme="minorEastAsia" w:eastAsiaTheme="minorEastAsia" w:cstheme="minorEastAsia"/>
          <w:sz w:val="28"/>
          <w:szCs w:val="28"/>
          <w:highlight w:val="none"/>
        </w:rPr>
        <w:t>》（附件1）及评价标准《</w:t>
      </w:r>
      <w:r>
        <w:rPr>
          <w:rFonts w:hint="eastAsia" w:asciiTheme="minorEastAsia" w:hAnsiTheme="minorEastAsia" w:eastAsiaTheme="minorEastAsia" w:cstheme="minorEastAsia"/>
          <w:sz w:val="28"/>
          <w:szCs w:val="28"/>
          <w:highlight w:val="none"/>
          <w:lang w:val="en-US" w:eastAsia="zh-CN"/>
        </w:rPr>
        <w:t>云溪区就业服务中心2022年度就业补助资金绩效评分表</w:t>
      </w:r>
      <w:r>
        <w:rPr>
          <w:rFonts w:hint="eastAsia" w:asciiTheme="minorEastAsia" w:hAnsiTheme="minorEastAsia" w:eastAsiaTheme="minorEastAsia" w:cstheme="minorEastAsia"/>
          <w:sz w:val="28"/>
          <w:szCs w:val="28"/>
          <w:highlight w:val="none"/>
        </w:rPr>
        <w:t>》（附件2）。</w:t>
      </w:r>
    </w:p>
    <w:p>
      <w:pPr>
        <w:numPr>
          <w:ilvl w:val="0"/>
          <w:numId w:val="0"/>
        </w:numPr>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val="en-US" w:eastAsia="zh-CN"/>
        </w:rPr>
        <w:t>3.</w:t>
      </w:r>
      <w:r>
        <w:rPr>
          <w:rFonts w:hint="eastAsia" w:asciiTheme="minorEastAsia" w:hAnsiTheme="minorEastAsia" w:eastAsiaTheme="minorEastAsia" w:cstheme="minorEastAsia"/>
          <w:b/>
          <w:sz w:val="28"/>
          <w:szCs w:val="28"/>
          <w:highlight w:val="none"/>
        </w:rPr>
        <w:t>绩效评价方法和内容</w:t>
      </w:r>
    </w:p>
    <w:p>
      <w:pPr>
        <w:ind w:firstLine="560" w:firstLineChars="200"/>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sz w:val="28"/>
          <w:szCs w:val="28"/>
          <w:highlight w:val="none"/>
        </w:rPr>
        <w:t>本次绩效评价方法为逻辑分析法、比较法、因素分析法、公众评判法和实地查验等评价方法。评价内容包括项目决策、项目管理、项目绩效三部分内容。主要围绕资金投向、资源配置、项目管理等方面客观分析项目的产出，体现从投入－产出－预期效果对绩效的影响，</w:t>
      </w:r>
      <w:r>
        <w:rPr>
          <w:rFonts w:hint="eastAsia" w:asciiTheme="minorEastAsia" w:hAnsiTheme="minorEastAsia" w:eastAsiaTheme="minorEastAsia" w:cstheme="minorEastAsia"/>
          <w:color w:val="000000"/>
          <w:kern w:val="0"/>
          <w:sz w:val="28"/>
          <w:szCs w:val="28"/>
          <w:highlight w:val="none"/>
        </w:rPr>
        <w:t>通过对项目实施活动中的检查评价，及时发现项目</w:t>
      </w:r>
      <w:r>
        <w:rPr>
          <w:rFonts w:hint="eastAsia" w:asciiTheme="minorEastAsia" w:hAnsiTheme="minorEastAsia" w:eastAsiaTheme="minorEastAsia" w:cstheme="minorEastAsia"/>
          <w:color w:val="000000"/>
          <w:kern w:val="0"/>
          <w:sz w:val="28"/>
          <w:szCs w:val="28"/>
          <w:highlight w:val="none"/>
          <w:lang w:eastAsia="zh-CN"/>
        </w:rPr>
        <w:t>实施</w:t>
      </w:r>
      <w:r>
        <w:rPr>
          <w:rFonts w:hint="eastAsia" w:asciiTheme="minorEastAsia" w:hAnsiTheme="minorEastAsia" w:eastAsiaTheme="minorEastAsia" w:cstheme="minorEastAsia"/>
          <w:color w:val="000000"/>
          <w:kern w:val="0"/>
          <w:sz w:val="28"/>
          <w:szCs w:val="28"/>
          <w:highlight w:val="none"/>
        </w:rPr>
        <w:t>中的问题，分析产生的原因，评价项目的目标是否达到，项目的效益指标是否实现。并有针对性地提出解决问题的对策和措施，以便决策者及时</w:t>
      </w:r>
      <w:r>
        <w:rPr>
          <w:rFonts w:hint="eastAsia" w:asciiTheme="minorEastAsia" w:hAnsiTheme="minorEastAsia" w:eastAsiaTheme="minorEastAsia" w:cstheme="minorEastAsia"/>
          <w:sz w:val="28"/>
          <w:szCs w:val="28"/>
          <w:highlight w:val="none"/>
        </w:rPr>
        <w:t>总结经验，分析问题，</w:t>
      </w:r>
      <w:r>
        <w:rPr>
          <w:rFonts w:hint="eastAsia" w:asciiTheme="minorEastAsia" w:hAnsiTheme="minorEastAsia" w:eastAsiaTheme="minorEastAsia" w:cstheme="minorEastAsia"/>
          <w:bCs/>
          <w:sz w:val="28"/>
          <w:szCs w:val="28"/>
          <w:highlight w:val="none"/>
        </w:rPr>
        <w:t>优化项目资金管理</w:t>
      </w:r>
      <w:r>
        <w:rPr>
          <w:rFonts w:hint="eastAsia" w:asciiTheme="minorEastAsia" w:hAnsiTheme="minorEastAsia" w:eastAsiaTheme="minorEastAsia" w:cstheme="minorEastAsia"/>
          <w:color w:val="000000"/>
          <w:kern w:val="0"/>
          <w:sz w:val="28"/>
          <w:szCs w:val="28"/>
          <w:highlight w:val="none"/>
        </w:rPr>
        <w:t>。</w:t>
      </w:r>
    </w:p>
    <w:p>
      <w:pPr>
        <w:widowControl/>
        <w:spacing w:before="120" w:after="120" w:line="420" w:lineRule="atLeast"/>
        <w:ind w:firstLine="560"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color w:val="000000"/>
          <w:kern w:val="0"/>
          <w:sz w:val="28"/>
          <w:szCs w:val="28"/>
          <w:highlight w:val="none"/>
          <w:lang w:val="en-US" w:eastAsia="zh-CN"/>
        </w:rPr>
        <w:t xml:space="preserve"> </w:t>
      </w: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kern w:val="0"/>
          <w:sz w:val="28"/>
          <w:szCs w:val="28"/>
        </w:rPr>
        <w:t>绩效评价工作实施过程</w:t>
      </w:r>
    </w:p>
    <w:p>
      <w:pPr>
        <w:ind w:firstLine="703"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1.前期准备</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按《</w:t>
      </w:r>
      <w:r>
        <w:rPr>
          <w:rFonts w:hint="eastAsia" w:asciiTheme="minorEastAsia" w:hAnsiTheme="minorEastAsia" w:eastAsiaTheme="minorEastAsia" w:cstheme="minorEastAsia"/>
          <w:sz w:val="28"/>
          <w:szCs w:val="28"/>
          <w:highlight w:val="none"/>
          <w:lang w:eastAsia="zh-CN"/>
        </w:rPr>
        <w:t>通知</w:t>
      </w:r>
      <w:r>
        <w:rPr>
          <w:rFonts w:hint="eastAsia" w:asciiTheme="minorEastAsia" w:hAnsiTheme="minorEastAsia" w:eastAsiaTheme="minorEastAsia" w:cstheme="minorEastAsia"/>
          <w:sz w:val="28"/>
          <w:szCs w:val="28"/>
          <w:highlight w:val="none"/>
        </w:rPr>
        <w:t>》及相关工作要求，前期准备工作分为三个阶段。</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第一阶段，成立了绩效评价工作小组，确定了项目评价负责人，配置相应的评价人员，并对评价参与人员进行相关培训</w:t>
      </w:r>
      <w:r>
        <w:rPr>
          <w:rFonts w:hint="eastAsia" w:asciiTheme="minorEastAsia" w:hAnsiTheme="minorEastAsia" w:eastAsiaTheme="minorEastAsia" w:cstheme="minorEastAsia"/>
          <w:sz w:val="28"/>
          <w:szCs w:val="28"/>
          <w:highlight w:val="none"/>
          <w:lang w:val="en-US" w:eastAsia="zh-CN"/>
        </w:rPr>
        <w:t>。</w:t>
      </w:r>
    </w:p>
    <w:p>
      <w:pPr>
        <w:ind w:firstLine="700" w:firstLineChars="25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第二阶段，20</w:t>
      </w:r>
      <w:r>
        <w:rPr>
          <w:rFonts w:hint="eastAsia" w:asciiTheme="minorEastAsia" w:hAnsiTheme="minorEastAsia" w:eastAsiaTheme="minorEastAsia" w:cstheme="minorEastAsia"/>
          <w:sz w:val="28"/>
          <w:szCs w:val="28"/>
          <w:highlight w:val="none"/>
          <w:lang w:val="en-US" w:eastAsia="zh-CN"/>
        </w:rPr>
        <w:t>23</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日绩效评价工作小组在</w:t>
      </w:r>
      <w:r>
        <w:rPr>
          <w:rFonts w:hint="eastAsia" w:asciiTheme="minorEastAsia" w:hAnsiTheme="minorEastAsia" w:eastAsiaTheme="minorEastAsia" w:cstheme="minorEastAsia"/>
          <w:sz w:val="28"/>
          <w:szCs w:val="28"/>
          <w:highlight w:val="none"/>
          <w:lang w:val="en-US" w:eastAsia="zh-CN"/>
        </w:rPr>
        <w:t>区</w:t>
      </w:r>
      <w:r>
        <w:rPr>
          <w:rFonts w:hint="eastAsia" w:asciiTheme="minorEastAsia" w:hAnsiTheme="minorEastAsia" w:eastAsiaTheme="minorEastAsia" w:cstheme="minorEastAsia"/>
          <w:sz w:val="28"/>
          <w:szCs w:val="28"/>
          <w:highlight w:val="none"/>
        </w:rPr>
        <w:t>财政局绩效评价股的带领下，听取了</w:t>
      </w:r>
      <w:r>
        <w:rPr>
          <w:rFonts w:hint="eastAsia" w:asciiTheme="minorEastAsia" w:hAnsiTheme="minorEastAsia" w:eastAsiaTheme="minorEastAsia" w:cstheme="minorEastAsia"/>
          <w:sz w:val="28"/>
          <w:szCs w:val="28"/>
          <w:highlight w:val="none"/>
          <w:lang w:val="en-US" w:eastAsia="zh-CN"/>
        </w:rPr>
        <w:t>就业服务中心</w:t>
      </w:r>
      <w:r>
        <w:rPr>
          <w:rFonts w:hint="eastAsia" w:asciiTheme="minorEastAsia" w:hAnsiTheme="minorEastAsia" w:eastAsiaTheme="minorEastAsia" w:cstheme="minorEastAsia"/>
          <w:sz w:val="28"/>
          <w:szCs w:val="28"/>
          <w:highlight w:val="none"/>
        </w:rPr>
        <w:t>对项目的情况介绍，初步了解被评价项目的有关基本情况，</w:t>
      </w:r>
      <w:r>
        <w:rPr>
          <w:rFonts w:hint="eastAsia" w:asciiTheme="minorEastAsia" w:hAnsiTheme="minorEastAsia" w:eastAsiaTheme="minorEastAsia" w:cstheme="minorEastAsia"/>
          <w:sz w:val="28"/>
          <w:szCs w:val="28"/>
          <w:highlight w:val="none"/>
          <w:lang w:eastAsia="zh-CN"/>
        </w:rPr>
        <w:t>向</w:t>
      </w:r>
      <w:r>
        <w:rPr>
          <w:rFonts w:hint="eastAsia" w:asciiTheme="minorEastAsia" w:hAnsiTheme="minorEastAsia" w:eastAsiaTheme="minorEastAsia" w:cstheme="minorEastAsia"/>
          <w:sz w:val="28"/>
          <w:szCs w:val="28"/>
          <w:highlight w:val="none"/>
          <w:lang w:val="en-US" w:eastAsia="zh-CN"/>
        </w:rPr>
        <w:t>就业服务中心</w:t>
      </w:r>
      <w:r>
        <w:rPr>
          <w:rFonts w:hint="eastAsia" w:asciiTheme="minorEastAsia" w:hAnsiTheme="minorEastAsia" w:eastAsiaTheme="minorEastAsia" w:cstheme="minorEastAsia"/>
          <w:sz w:val="28"/>
          <w:szCs w:val="28"/>
          <w:highlight w:val="none"/>
          <w:lang w:eastAsia="zh-CN"/>
        </w:rPr>
        <w:t>提交了《绩效评价所需资料清单》</w:t>
      </w:r>
      <w:r>
        <w:rPr>
          <w:rFonts w:hint="eastAsia" w:asciiTheme="minorEastAsia" w:hAnsiTheme="minorEastAsia" w:eastAsiaTheme="minorEastAsia" w:cstheme="minorEastAsia"/>
          <w:sz w:val="28"/>
          <w:szCs w:val="28"/>
          <w:highlight w:val="none"/>
        </w:rPr>
        <w:t>。</w:t>
      </w:r>
    </w:p>
    <w:p>
      <w:pPr>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第三阶段，根据</w:t>
      </w:r>
      <w:r>
        <w:rPr>
          <w:rFonts w:hint="eastAsia" w:asciiTheme="minorEastAsia" w:hAnsiTheme="minorEastAsia" w:eastAsiaTheme="minorEastAsia" w:cstheme="minorEastAsia"/>
          <w:sz w:val="28"/>
          <w:szCs w:val="28"/>
          <w:highlight w:val="none"/>
          <w:lang w:val="en-US" w:eastAsia="zh-CN"/>
        </w:rPr>
        <w:t>区财政局</w:t>
      </w:r>
      <w:r>
        <w:rPr>
          <w:rFonts w:hint="eastAsia" w:asciiTheme="minorEastAsia" w:hAnsiTheme="minorEastAsia" w:eastAsiaTheme="minorEastAsia" w:cstheme="minorEastAsia"/>
          <w:sz w:val="28"/>
          <w:szCs w:val="28"/>
          <w:highlight w:val="none"/>
        </w:rPr>
        <w:t>绩效评价股的指导意见，绩效评价工作小组制订了绩效评价方案、评价体系指标、调查问卷</w:t>
      </w:r>
      <w:r>
        <w:rPr>
          <w:rFonts w:hint="eastAsia" w:asciiTheme="minorEastAsia" w:hAnsiTheme="minorEastAsia" w:eastAsiaTheme="minorEastAsia" w:cstheme="minorEastAsia"/>
          <w:sz w:val="28"/>
          <w:szCs w:val="28"/>
          <w:highlight w:val="none"/>
          <w:lang w:eastAsia="zh-CN"/>
        </w:rPr>
        <w:t>表（见附件）</w:t>
      </w:r>
      <w:r>
        <w:rPr>
          <w:rFonts w:hint="eastAsia" w:asciiTheme="minorEastAsia" w:hAnsiTheme="minorEastAsia" w:eastAsiaTheme="minorEastAsia" w:cstheme="minorEastAsia"/>
          <w:sz w:val="28"/>
          <w:szCs w:val="28"/>
          <w:highlight w:val="none"/>
        </w:rPr>
        <w:t>等。</w:t>
      </w:r>
    </w:p>
    <w:p>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b/>
          <w:sz w:val="28"/>
          <w:szCs w:val="28"/>
          <w:highlight w:val="none"/>
        </w:rPr>
        <w:t xml:space="preserve"> 2.组织实施过程</w:t>
      </w:r>
    </w:p>
    <w:p>
      <w:pPr>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月，绩效评价工作小组调阅项目单位相关资料、核实</w:t>
      </w:r>
      <w:r>
        <w:rPr>
          <w:rFonts w:hint="eastAsia" w:asciiTheme="minorEastAsia" w:hAnsiTheme="minorEastAsia" w:eastAsiaTheme="minorEastAsia" w:cstheme="minorEastAsia"/>
          <w:sz w:val="28"/>
          <w:szCs w:val="28"/>
          <w:lang w:eastAsia="zh-CN"/>
        </w:rPr>
        <w:t>资金拨付情况、</w:t>
      </w:r>
      <w:r>
        <w:rPr>
          <w:rFonts w:hint="eastAsia" w:asciiTheme="minorEastAsia" w:hAnsiTheme="minorEastAsia" w:eastAsiaTheme="minorEastAsia" w:cstheme="minorEastAsia"/>
          <w:sz w:val="28"/>
          <w:szCs w:val="28"/>
        </w:rPr>
        <w:t>询问等方式对项目展开考评。</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（1）资料收集</w:t>
      </w:r>
      <w:r>
        <w:rPr>
          <w:rFonts w:hint="eastAsia" w:asciiTheme="minorEastAsia" w:hAnsiTheme="minorEastAsia" w:eastAsiaTheme="minorEastAsia" w:cstheme="minorEastAsia"/>
          <w:strike w:val="0"/>
          <w:dstrike w:val="0"/>
          <w:color w:val="auto"/>
          <w:sz w:val="28"/>
          <w:szCs w:val="28"/>
          <w:lang w:eastAsia="zh-CN"/>
        </w:rPr>
        <w:t>，确定项目目标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绩效评价工作小组搜集并认真学习研究了项</w:t>
      </w:r>
      <w:r>
        <w:rPr>
          <w:rFonts w:hint="eastAsia" w:asciiTheme="minorEastAsia" w:hAnsiTheme="minorEastAsia" w:eastAsiaTheme="minorEastAsia" w:cstheme="minorEastAsia"/>
          <w:sz w:val="28"/>
          <w:szCs w:val="28"/>
          <w:highlight w:val="none"/>
        </w:rPr>
        <w:t>目相关的政策性文件和业务文件、管理办法等</w:t>
      </w:r>
      <w:r>
        <w:rPr>
          <w:rFonts w:hint="eastAsia" w:asciiTheme="minorEastAsia" w:hAnsiTheme="minorEastAsia" w:eastAsiaTheme="minorEastAsia" w:cstheme="minorEastAsia"/>
          <w:sz w:val="28"/>
          <w:szCs w:val="28"/>
          <w:highlight w:val="none"/>
          <w:lang w:eastAsia="zh-CN"/>
        </w:rPr>
        <w:t>，进行认真研究。</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2）核实账目资金</w:t>
      </w:r>
      <w:r>
        <w:rPr>
          <w:rFonts w:hint="eastAsia" w:asciiTheme="minorEastAsia" w:hAnsiTheme="minorEastAsia" w:eastAsiaTheme="minorEastAsia" w:cstheme="minorEastAsia"/>
          <w:sz w:val="28"/>
          <w:szCs w:val="28"/>
          <w:highlight w:val="none"/>
        </w:rPr>
        <w:t>。</w:t>
      </w:r>
    </w:p>
    <w:p>
      <w:pPr>
        <w:ind w:firstLine="548" w:firstLineChars="196"/>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）调查问卷。</w:t>
      </w:r>
      <w:r>
        <w:rPr>
          <w:rFonts w:hint="eastAsia" w:asciiTheme="minorEastAsia" w:hAnsiTheme="minorEastAsia" w:eastAsiaTheme="minorEastAsia" w:cstheme="minorEastAsia"/>
          <w:color w:val="auto"/>
          <w:sz w:val="28"/>
          <w:szCs w:val="28"/>
          <w:highlight w:val="none"/>
          <w:lang w:eastAsia="zh-CN"/>
        </w:rPr>
        <w:t>调查问卷共</w:t>
      </w:r>
      <w:r>
        <w:rPr>
          <w:rFonts w:hint="eastAsia" w:asciiTheme="minorEastAsia" w:hAnsiTheme="minorEastAsia" w:eastAsiaTheme="minorEastAsia" w:cstheme="minorEastAsia"/>
          <w:color w:val="auto"/>
          <w:sz w:val="28"/>
          <w:szCs w:val="28"/>
          <w:highlight w:val="none"/>
          <w:lang w:val="en-US" w:eastAsia="zh-CN"/>
        </w:rPr>
        <w:t>10题，内容主要涉及到对就业补助资金发放满意程度</w:t>
      </w:r>
      <w:r>
        <w:rPr>
          <w:rFonts w:hint="eastAsia" w:asciiTheme="minorEastAsia" w:hAnsiTheme="minorEastAsia" w:eastAsiaTheme="minorEastAsia" w:cstheme="minorEastAsia"/>
          <w:color w:val="auto"/>
          <w:sz w:val="28"/>
          <w:szCs w:val="28"/>
          <w:highlight w:val="none"/>
          <w:lang w:eastAsia="zh-CN"/>
        </w:rPr>
        <w:t>等方面内容。</w:t>
      </w:r>
      <w:r>
        <w:rPr>
          <w:rFonts w:hint="eastAsia" w:asciiTheme="minorEastAsia" w:hAnsiTheme="minorEastAsia" w:eastAsiaTheme="minorEastAsia" w:cstheme="minorEastAsia"/>
          <w:color w:val="auto"/>
          <w:sz w:val="28"/>
          <w:szCs w:val="28"/>
          <w:highlight w:val="none"/>
          <w:lang w:val="en-US" w:eastAsia="zh-CN"/>
        </w:rPr>
        <w:t>发放调查问卷共20份，</w:t>
      </w:r>
      <w:r>
        <w:rPr>
          <w:rFonts w:hint="eastAsia" w:asciiTheme="minorEastAsia" w:hAnsiTheme="minorEastAsia" w:eastAsiaTheme="minorEastAsia" w:cstheme="minorEastAsia"/>
          <w:color w:val="auto"/>
          <w:sz w:val="28"/>
          <w:szCs w:val="28"/>
        </w:rPr>
        <w:t>回收有效问卷</w:t>
      </w:r>
      <w:r>
        <w:rPr>
          <w:rFonts w:hint="eastAsia" w:asciiTheme="minorEastAsia" w:hAnsiTheme="minorEastAsia" w:eastAsiaTheme="minorEastAsia" w:cstheme="minorEastAsia"/>
          <w:color w:val="auto"/>
          <w:sz w:val="28"/>
          <w:szCs w:val="28"/>
          <w:lang w:val="en-US" w:eastAsia="zh-CN"/>
        </w:rPr>
        <w:t>20人</w:t>
      </w:r>
      <w:r>
        <w:rPr>
          <w:rFonts w:hint="eastAsia" w:asciiTheme="minorEastAsia" w:hAnsiTheme="minorEastAsia" w:eastAsiaTheme="minorEastAsia" w:cstheme="minorEastAsia"/>
          <w:color w:val="auto"/>
          <w:sz w:val="28"/>
          <w:szCs w:val="28"/>
        </w:rPr>
        <w:t>/次，回收率100%</w:t>
      </w:r>
      <w:r>
        <w:rPr>
          <w:rFonts w:hint="eastAsia" w:asciiTheme="minorEastAsia" w:hAnsiTheme="minorEastAsia" w:eastAsiaTheme="minorEastAsia" w:cstheme="minorEastAsia"/>
          <w:color w:val="auto"/>
          <w:sz w:val="28"/>
          <w:szCs w:val="28"/>
          <w:highlight w:val="none"/>
          <w:lang w:val="en-US" w:eastAsia="zh-CN"/>
        </w:rPr>
        <w:t>。</w:t>
      </w:r>
    </w:p>
    <w:p>
      <w:pPr>
        <w:tabs>
          <w:tab w:val="left" w:pos="0"/>
        </w:tabs>
        <w:spacing w:line="62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3.分析评价</w:t>
      </w:r>
    </w:p>
    <w:p>
      <w:pPr>
        <w:pStyle w:val="34"/>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根据现场考评情况，对收集的资料进行整理、汇总分析，根据设定的绩效评价指标体系制订了评价指标底稿，每个底稿均有扣分、得分依据、附件内容、评价人员意见等，根据底稿汇总，制订了绩效评价评分汇总表，最终形成《</w:t>
      </w:r>
      <w:r>
        <w:rPr>
          <w:rFonts w:hint="eastAsia" w:asciiTheme="minorEastAsia" w:hAnsiTheme="minorEastAsia" w:eastAsiaTheme="minorEastAsia" w:cstheme="minorEastAsia"/>
          <w:sz w:val="28"/>
          <w:szCs w:val="28"/>
          <w:highlight w:val="none"/>
          <w:lang w:val="en-US" w:eastAsia="zh-CN"/>
        </w:rPr>
        <w:t>云溪区就业服务中心2022年度就业补助资金绩效评价报告书</w:t>
      </w:r>
      <w:r>
        <w:rPr>
          <w:rFonts w:hint="eastAsia" w:asciiTheme="minorEastAsia" w:hAnsiTheme="minorEastAsia" w:eastAsiaTheme="minorEastAsia" w:cstheme="minorEastAsia"/>
          <w:sz w:val="28"/>
          <w:szCs w:val="28"/>
          <w:highlight w:val="none"/>
        </w:rPr>
        <w:t>》。</w:t>
      </w:r>
    </w:p>
    <w:p>
      <w:pPr>
        <w:numPr>
          <w:ilvl w:val="0"/>
          <w:numId w:val="0"/>
        </w:numPr>
        <w:spacing w:line="600" w:lineRule="exact"/>
        <w:ind w:leftChars="200" w:firstLine="281"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（四）绩效目标的实现程度</w:t>
      </w:r>
    </w:p>
    <w:p>
      <w:pPr>
        <w:numPr>
          <w:ilvl w:val="0"/>
          <w:numId w:val="0"/>
        </w:numPr>
        <w:ind w:firstLine="843" w:firstLineChars="3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1、</w:t>
      </w:r>
      <w:r>
        <w:rPr>
          <w:rFonts w:hint="eastAsia" w:asciiTheme="minorEastAsia" w:hAnsiTheme="minorEastAsia" w:eastAsiaTheme="minorEastAsia" w:cstheme="minorEastAsia"/>
          <w:b/>
          <w:bCs/>
          <w:kern w:val="0"/>
          <w:sz w:val="28"/>
          <w:szCs w:val="28"/>
        </w:rPr>
        <w:t>项目产出完成情况及分析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（1）完成新增城镇就业2613人，完成目标任务2600人的100.5%。</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（2）重点群体就业情况。2022年，就业服务中心完成失业人员再就业702人，完成目标任务700人的100.3%；困难人员再就业 203人，完成目标任务200人的101.5%；完成新增农村劳动力转移就业1021人，享受社会保险补贴23人，享受公益性岗位补贴389人，享受就业见习补贴95人，促进了高校毕业生为重点的青年就业和农村转移劳动力、城镇困难人员、退役军人等重点群体就业。</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（3）就业资金保障情况。本级财政配套就业资金125万元已入就业资金专户。就业资金线上经办率74.87%，就业资金支出进度100%。</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4）创业工作成效情况。开展创业培训9期培训274人，取得合格证书248人；为54个创业主体和3家小微企业发放创业贷款1440万元；湖南岳阳绿色化工高新技术产业区科技创业服务中心成功申报区级孵化基地，目前已有70家创业实体和创业项目入住该孵化基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（5）职业技能培训情况。举办了家政服务员、劳动关系协调员安全员、电工、仪器仪表维修工、保安员、包装工、林木种苗工等18期职业技能培训班，培训889人。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云溪就业服务中心认真落实就业援助政策，多渠道开发就业援助岗位，强化服务职能，较好的完成了目标任务。</w:t>
      </w:r>
    </w:p>
    <w:p>
      <w:pPr>
        <w:ind w:firstLine="562" w:firstLineChars="200"/>
        <w:jc w:val="lef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2、</w:t>
      </w:r>
      <w:r>
        <w:rPr>
          <w:rFonts w:hint="eastAsia" w:asciiTheme="minorEastAsia" w:hAnsiTheme="minorEastAsia" w:eastAsiaTheme="minorEastAsia" w:cstheme="minorEastAsia"/>
          <w:b/>
          <w:kern w:val="0"/>
          <w:sz w:val="28"/>
          <w:szCs w:val="28"/>
        </w:rPr>
        <w:t>产出质量情况分析</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（1）项目运行质量：</w:t>
      </w:r>
      <w:r>
        <w:rPr>
          <w:rFonts w:hint="eastAsia" w:asciiTheme="minorEastAsia" w:hAnsiTheme="minorEastAsia" w:eastAsiaTheme="minorEastAsia" w:cstheme="minorEastAsia"/>
          <w:kern w:val="2"/>
          <w:sz w:val="28"/>
          <w:szCs w:val="28"/>
          <w:lang w:val="en-US" w:eastAsia="zh-CN" w:bidi="ar-SA"/>
        </w:rPr>
        <w:t>良好</w:t>
      </w:r>
      <w:r>
        <w:rPr>
          <w:rFonts w:hint="eastAsia" w:asciiTheme="minorEastAsia" w:hAnsiTheme="minorEastAsia" w:eastAsiaTheme="minorEastAsia" w:cstheme="minorEastAsia"/>
          <w:i w:val="0"/>
          <w:color w:val="auto"/>
          <w:kern w:val="0"/>
          <w:sz w:val="28"/>
          <w:szCs w:val="28"/>
          <w:lang w:val="en-US" w:eastAsia="zh-CN" w:bidi="ar"/>
        </w:rPr>
        <w:t>。</w:t>
      </w:r>
    </w:p>
    <w:p>
      <w:pPr>
        <w:ind w:firstLine="560"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（2）服务质量：通过问卷调查</w:t>
      </w:r>
      <w:r>
        <w:rPr>
          <w:rFonts w:hint="eastAsia" w:asciiTheme="minorEastAsia" w:hAnsiTheme="minorEastAsia" w:eastAsiaTheme="minorEastAsia" w:cstheme="minorEastAsia"/>
          <w:i w:val="0"/>
          <w:color w:val="auto"/>
          <w:kern w:val="0"/>
          <w:sz w:val="28"/>
          <w:szCs w:val="28"/>
          <w:highlight w:val="none"/>
          <w:lang w:val="en-US" w:eastAsia="zh-CN" w:bidi="ar"/>
        </w:rPr>
        <w:t>，就业服务中心为项目提供的服务质量、服务态度、办事效率情况满意度高。</w:t>
      </w:r>
    </w:p>
    <w:p>
      <w:pPr>
        <w:ind w:firstLine="560" w:firstLineChars="200"/>
        <w:jc w:val="left"/>
        <w:rPr>
          <w:rFonts w:hint="eastAsia" w:asciiTheme="minorEastAsia" w:hAnsiTheme="minorEastAsia" w:eastAsiaTheme="minorEastAsia" w:cstheme="minorEastAsia"/>
          <w:i w:val="0"/>
          <w:color w:val="auto"/>
          <w:kern w:val="0"/>
          <w:sz w:val="28"/>
          <w:szCs w:val="28"/>
          <w:lang w:val="en-US" w:eastAsia="zh-CN" w:bidi="ar"/>
        </w:rPr>
      </w:pPr>
      <w:r>
        <w:rPr>
          <w:rFonts w:hint="eastAsia" w:asciiTheme="minorEastAsia" w:hAnsiTheme="minorEastAsia" w:eastAsiaTheme="minorEastAsia" w:cstheme="minorEastAsia"/>
          <w:i w:val="0"/>
          <w:color w:val="auto"/>
          <w:kern w:val="0"/>
          <w:sz w:val="28"/>
          <w:szCs w:val="28"/>
          <w:lang w:val="en-US" w:eastAsia="zh-CN" w:bidi="ar"/>
        </w:rPr>
        <w:t>（3</w:t>
      </w:r>
      <w:r>
        <w:rPr>
          <w:rFonts w:hint="eastAsia" w:asciiTheme="minorEastAsia" w:hAnsiTheme="minorEastAsia" w:eastAsiaTheme="minorEastAsia" w:cstheme="minorEastAsia"/>
          <w:i w:val="0"/>
          <w:color w:val="auto"/>
          <w:kern w:val="0"/>
          <w:sz w:val="28"/>
          <w:szCs w:val="28"/>
          <w:highlight w:val="none"/>
          <w:lang w:val="en-US" w:eastAsia="zh-CN" w:bidi="ar"/>
        </w:rPr>
        <w:t>）通过问卷调查、查询相关通报及公开网络，未发现有举报就业服务中心工作人员在项目运行中发生违规违纪等廉政方面问题。</w:t>
      </w:r>
    </w:p>
    <w:p>
      <w:pPr>
        <w:ind w:firstLine="562"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333333"/>
          <w:kern w:val="0"/>
          <w:sz w:val="28"/>
          <w:szCs w:val="28"/>
          <w:lang w:val="en-US" w:eastAsia="zh-CN" w:bidi="ar"/>
        </w:rPr>
        <w:t>3、</w:t>
      </w:r>
      <w:r>
        <w:rPr>
          <w:rFonts w:hint="eastAsia" w:asciiTheme="minorEastAsia" w:hAnsiTheme="minorEastAsia" w:eastAsiaTheme="minorEastAsia" w:cstheme="minorEastAsia"/>
          <w:b/>
          <w:bCs/>
          <w:i w:val="0"/>
          <w:color w:val="auto"/>
          <w:kern w:val="0"/>
          <w:sz w:val="28"/>
          <w:szCs w:val="28"/>
          <w:lang w:val="en-US" w:eastAsia="zh-CN" w:bidi="ar"/>
        </w:rPr>
        <w:t>产出时效</w:t>
      </w:r>
      <w:r>
        <w:rPr>
          <w:rFonts w:hint="eastAsia" w:asciiTheme="minorEastAsia" w:hAnsiTheme="minorEastAsia" w:eastAsiaTheme="minorEastAsia" w:cstheme="minorEastAsia"/>
          <w:b/>
          <w:bCs/>
          <w:i w:val="0"/>
          <w:color w:val="333333"/>
          <w:kern w:val="0"/>
          <w:sz w:val="28"/>
          <w:szCs w:val="28"/>
          <w:lang w:val="en-US" w:eastAsia="zh-CN" w:bidi="ar"/>
        </w:rPr>
        <w:t>：</w:t>
      </w:r>
      <w:r>
        <w:rPr>
          <w:rFonts w:hint="eastAsia" w:asciiTheme="minorEastAsia" w:hAnsiTheme="minorEastAsia" w:eastAsiaTheme="minorEastAsia" w:cstheme="minorEastAsia"/>
          <w:i w:val="0"/>
          <w:color w:val="auto"/>
          <w:kern w:val="0"/>
          <w:sz w:val="28"/>
          <w:szCs w:val="28"/>
          <w:highlight w:val="none"/>
          <w:lang w:val="en-US" w:eastAsia="zh-CN" w:bidi="ar"/>
        </w:rPr>
        <w:t>绩效项目按计划时间实施、完成。</w:t>
      </w:r>
    </w:p>
    <w:p>
      <w:pPr>
        <w:ind w:firstLine="562" w:firstLineChars="200"/>
        <w:jc w:val="left"/>
        <w:rPr>
          <w:rFonts w:hint="eastAsia" w:asciiTheme="minorEastAsia" w:hAnsiTheme="minorEastAsia" w:eastAsiaTheme="minorEastAsia" w:cstheme="minorEastAsia"/>
          <w:i w:val="0"/>
          <w:color w:val="auto"/>
          <w:kern w:val="0"/>
          <w:sz w:val="28"/>
          <w:szCs w:val="28"/>
          <w:highlight w:val="yellow"/>
          <w:lang w:val="en-US" w:eastAsia="zh-CN" w:bidi="ar"/>
        </w:rPr>
      </w:pPr>
      <w:r>
        <w:rPr>
          <w:rFonts w:hint="eastAsia" w:asciiTheme="minorEastAsia" w:hAnsiTheme="minorEastAsia" w:eastAsiaTheme="minorEastAsia" w:cstheme="minorEastAsia"/>
          <w:b/>
          <w:bCs/>
          <w:i w:val="0"/>
          <w:color w:val="auto"/>
          <w:kern w:val="0"/>
          <w:sz w:val="28"/>
          <w:szCs w:val="28"/>
          <w:lang w:val="en-US" w:eastAsia="zh-CN" w:bidi="ar"/>
        </w:rPr>
        <w:t>4、成本控制</w:t>
      </w:r>
      <w:r>
        <w:rPr>
          <w:rFonts w:hint="eastAsia" w:asciiTheme="minorEastAsia" w:hAnsiTheme="minorEastAsia" w:eastAsiaTheme="minorEastAsia" w:cstheme="minorEastAsia"/>
          <w:i w:val="0"/>
          <w:color w:val="auto"/>
          <w:kern w:val="0"/>
          <w:sz w:val="28"/>
          <w:szCs w:val="28"/>
          <w:lang w:val="en-US" w:eastAsia="zh-CN" w:bidi="ar"/>
        </w:rPr>
        <w:t>：</w:t>
      </w:r>
      <w:r>
        <w:rPr>
          <w:rFonts w:hint="eastAsia" w:ascii="宋体" w:hAnsi="宋体" w:eastAsia="宋体" w:cs="宋体"/>
          <w:b w:val="0"/>
          <w:bCs w:val="0"/>
          <w:sz w:val="28"/>
          <w:szCs w:val="28"/>
          <w:highlight w:val="none"/>
          <w:lang w:val="en-US" w:eastAsia="zh-CN"/>
        </w:rPr>
        <w:t>本项目未申报预算，也无资金分配方案，项目收入1014.79万元，</w:t>
      </w:r>
      <w:r>
        <w:rPr>
          <w:rFonts w:hint="eastAsia" w:ascii="宋体" w:hAnsi="宋体" w:eastAsia="宋体" w:cs="宋体"/>
          <w:b w:val="0"/>
          <w:bCs w:val="0"/>
          <w:sz w:val="28"/>
          <w:szCs w:val="28"/>
          <w:highlight w:val="none"/>
        </w:rPr>
        <w:t>实际</w:t>
      </w:r>
      <w:r>
        <w:rPr>
          <w:rFonts w:hint="eastAsia" w:ascii="宋体" w:hAnsi="宋体" w:eastAsia="宋体" w:cs="宋体"/>
          <w:b w:val="0"/>
          <w:bCs w:val="0"/>
          <w:sz w:val="28"/>
          <w:szCs w:val="28"/>
          <w:highlight w:val="none"/>
          <w:lang w:eastAsia="zh-CN"/>
        </w:rPr>
        <w:t>共支出</w:t>
      </w:r>
      <w:r>
        <w:rPr>
          <w:rFonts w:hint="eastAsia" w:ascii="宋体" w:hAnsi="宋体" w:eastAsia="宋体" w:cs="宋体"/>
          <w:b w:val="0"/>
          <w:bCs w:val="0"/>
          <w:sz w:val="28"/>
          <w:szCs w:val="28"/>
          <w:highlight w:val="none"/>
          <w:lang w:val="en-US" w:eastAsia="zh-CN"/>
        </w:rPr>
        <w:t>975.12万</w:t>
      </w:r>
      <w:r>
        <w:rPr>
          <w:rFonts w:hint="eastAsia" w:ascii="宋体" w:hAnsi="宋体" w:eastAsia="宋体" w:cs="宋体"/>
          <w:b w:val="0"/>
          <w:bCs w:val="0"/>
          <w:sz w:val="28"/>
          <w:szCs w:val="28"/>
          <w:highlight w:val="none"/>
        </w:rPr>
        <w:t>元，</w:t>
      </w:r>
      <w:r>
        <w:rPr>
          <w:rFonts w:hint="eastAsia" w:ascii="宋体" w:hAnsi="宋体" w:eastAsia="宋体" w:cs="宋体"/>
          <w:b w:val="0"/>
          <w:bCs w:val="0"/>
          <w:sz w:val="28"/>
          <w:szCs w:val="28"/>
          <w:highlight w:val="none"/>
          <w:lang w:eastAsia="zh-CN"/>
        </w:rPr>
        <w:t>当年</w:t>
      </w:r>
      <w:r>
        <w:rPr>
          <w:rFonts w:hint="eastAsia" w:ascii="宋体" w:hAnsi="宋体" w:eastAsia="宋体" w:cs="宋体"/>
          <w:b w:val="0"/>
          <w:bCs w:val="0"/>
          <w:sz w:val="28"/>
          <w:szCs w:val="28"/>
          <w:highlight w:val="none"/>
          <w:lang w:val="en-US" w:eastAsia="zh-CN"/>
        </w:rPr>
        <w:t>结余39.67万元，</w:t>
      </w:r>
      <w:r>
        <w:rPr>
          <w:rFonts w:hint="eastAsia" w:ascii="宋体" w:hAnsi="宋体" w:cs="宋体"/>
          <w:b w:val="0"/>
          <w:bCs w:val="0"/>
          <w:sz w:val="28"/>
          <w:szCs w:val="28"/>
          <w:highlight w:val="none"/>
          <w:lang w:val="en-US" w:eastAsia="zh-CN"/>
        </w:rPr>
        <w:t>账面收入与支出</w:t>
      </w:r>
      <w:r>
        <w:rPr>
          <w:rFonts w:hint="eastAsia" w:ascii="宋体" w:hAnsi="宋体" w:eastAsia="宋体" w:cs="宋体"/>
          <w:b w:val="0"/>
          <w:bCs w:val="0"/>
          <w:sz w:val="28"/>
          <w:szCs w:val="28"/>
          <w:highlight w:val="none"/>
          <w:lang w:val="en-US" w:eastAsia="zh-CN"/>
        </w:rPr>
        <w:t>未超成本，成本控制较好。</w:t>
      </w:r>
    </w:p>
    <w:p>
      <w:pPr>
        <w:numPr>
          <w:ilvl w:val="0"/>
          <w:numId w:val="0"/>
        </w:numPr>
        <w:ind w:firstLine="562"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项目公开、公正性。</w:t>
      </w:r>
      <w:r>
        <w:rPr>
          <w:rFonts w:hint="eastAsia" w:asciiTheme="minorEastAsia" w:hAnsiTheme="minorEastAsia" w:eastAsiaTheme="minorEastAsia" w:cstheme="minorEastAsia"/>
          <w:color w:val="000000"/>
          <w:sz w:val="28"/>
          <w:szCs w:val="28"/>
        </w:rPr>
        <w:t>规范审批程序，公示审批流程，确保了项目</w:t>
      </w:r>
      <w:r>
        <w:rPr>
          <w:rFonts w:hint="eastAsia" w:asciiTheme="minorEastAsia" w:hAnsiTheme="minorEastAsia" w:eastAsiaTheme="minorEastAsia" w:cstheme="minorEastAsia"/>
          <w:color w:val="000000"/>
          <w:sz w:val="28"/>
          <w:szCs w:val="28"/>
          <w:lang w:val="en-US" w:eastAsia="zh-CN"/>
        </w:rPr>
        <w:t>资金发放</w:t>
      </w:r>
      <w:r>
        <w:rPr>
          <w:rFonts w:hint="eastAsia" w:asciiTheme="minorEastAsia" w:hAnsiTheme="minorEastAsia" w:eastAsiaTheme="minorEastAsia" w:cstheme="minorEastAsia"/>
          <w:color w:val="000000"/>
          <w:sz w:val="28"/>
          <w:szCs w:val="28"/>
        </w:rPr>
        <w:t>的快速、高效、公开、透明。</w:t>
      </w:r>
    </w:p>
    <w:p>
      <w:pPr>
        <w:numPr>
          <w:ilvl w:val="0"/>
          <w:numId w:val="0"/>
        </w:numPr>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6、</w:t>
      </w:r>
      <w:r>
        <w:rPr>
          <w:rFonts w:hint="eastAsia" w:asciiTheme="minorEastAsia" w:hAnsiTheme="minorEastAsia" w:eastAsiaTheme="minorEastAsia" w:cstheme="minorEastAsia"/>
          <w:b/>
          <w:bCs/>
          <w:kern w:val="0"/>
          <w:sz w:val="28"/>
          <w:szCs w:val="28"/>
        </w:rPr>
        <w:t>项目完成后效果</w:t>
      </w:r>
    </w:p>
    <w:p>
      <w:pPr>
        <w:numPr>
          <w:ilvl w:val="0"/>
          <w:numId w:val="0"/>
        </w:numPr>
        <w:ind w:firstLine="560" w:firstLineChars="200"/>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（1）搭建就业供需平台，就业渠道得到进一步拓展。</w:t>
      </w:r>
    </w:p>
    <w:p>
      <w:pPr>
        <w:numPr>
          <w:ilvl w:val="0"/>
          <w:numId w:val="0"/>
        </w:numPr>
        <w:ind w:firstLine="560" w:firstLineChars="200"/>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就业服务中心通过“线上+线下”招聘方式，指导用工企业在“湘就业”公众号发布岗位信息200多个，先后举办了“春风行动”、“就业援助月”等6场招聘会，现场发放宣传资料3400多份，累计共有105家企业提供岗位4800多个，收受求职简历598份，现场达成意向录用人数341人。每月定期在省公共就业服务信息平台对全区就业状态进行监测，通过数据比对对全区状态进行分析，及时掌握全区就业状态和就业需求，为提供精准、优效的“311”就业服务打好了坚实基础。</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（2）优创业培训效果。</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就业服务中心以提升创业培训质量为抓手，加强创业培训过程监督，与时俱进开设“创业+直播”等特色培训班，提升学员的创业技能，2022年累计举办了9期创业培训班，培训274人次。将创业培训与充分就业社区建设相结合，充分利用公共就业服务平台优势，广泛征求劳动者培训需求，提供“菜单式”培训，既为劳动者提供了心仪的培训，又为充分就业社区建设夯实了基础，被市城社科在全市得以推广，为充分就业社区建设贡献了可复制的云溪经验。</w:t>
      </w:r>
    </w:p>
    <w:p>
      <w:pPr>
        <w:ind w:firstLine="560" w:firstLineChars="200"/>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促进创业带动就业。云溪区就业服务中心为帮助自主创业者和小微企业扩大融资渠道，将创业贷款审批权下放到镇（街道），优化创业贷款审批流程，2022年，为54个创业主体和3家小微企业发放创业贷款1440万元，成功建设1家区级孵化基地。湖南岳阳绿色化工高新技术产业区科技创业服务中心成功申报区级孵化基地，目前已有70家创业实体和创业项目入住该孵化基地，促进以创业带动就业。</w:t>
      </w:r>
    </w:p>
    <w:p>
      <w:pPr>
        <w:ind w:firstLine="560" w:firstLineChars="200"/>
        <w:rPr>
          <w:rFonts w:hint="default"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4）保障脱贫人口就业。就业服务中心开展脱贫劳动力信息核实。按照要求，先后4次组织5个镇（街道）对云溪区2012名脱贫劳动力信息进行了核实，通过组织招聘录用一批、技能培训促进一批、帮扶车间吸纳一批、劳务协作输出一批、公益性岗位安置一批等多途径，帮组脱贫劳动力就业，增加收入。目前，云溪区脱贫劳动力总数为2012人，已就业人数1778人，就业率为88.37%。</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（5）经济效益指标。</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default"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截至12月份，完成新增城镇就业2613人，失业人员再就业702人，困难人员再就业 203人，完成农村劳动转移就业1021人。享受社会保险补贴23人，享受公益性岗位补贴389人，18期职业技能培训班共培训889人。</w:t>
      </w:r>
      <w:r>
        <w:rPr>
          <w:rFonts w:hint="eastAsia" w:asciiTheme="minorEastAsia" w:hAnsiTheme="minorEastAsia" w:eastAsiaTheme="minorEastAsia" w:cstheme="minorEastAsia"/>
          <w:color w:val="000000"/>
          <w:kern w:val="2"/>
          <w:sz w:val="28"/>
          <w:szCs w:val="28"/>
          <w:lang w:val="en-US" w:eastAsia="zh-CN" w:bidi="ar-SA"/>
        </w:rPr>
        <w:t>就业补助资金项目的实施，有效降低了企业用工成本和高校毕业生、下岗失业人员、农村转移劳动力等就业困难群体求职创业成本，产生了较好的经济效益。</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602"/>
        <w:jc w:val="both"/>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6）社会效益指标。就业补助资金项目的实施，提高了劳动者职业技能和就业能力，保障了就业困难群体的基本权益，为全面落实积极的就业创业政策提供了坚实的制度和资金保障，有力促进了经济发展和社会稳定，社会效益显著。因就业问题发生重大群体性事件数量为0。</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（7）可持续影响。社会保险补贴、公益性岗位补贴、社区民生志愿者等政策对新增就业、失业人员再就业、就业困难人员就业具有长期影响，在稳定和扩大就业规模中发挥了积极作用。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2" w:firstLineChars="20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（五）项目绩效评价结论</w:t>
      </w:r>
    </w:p>
    <w:p>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jc w:val="both"/>
        <w:rPr>
          <w:rFonts w:hint="eastAsia" w:asciiTheme="minorEastAsia" w:hAnsiTheme="minorEastAsia" w:eastAsiaTheme="minorEastAsia" w:cstheme="minorEastAsia"/>
          <w:b w:val="0"/>
          <w:bCs w:val="0"/>
          <w:color w:val="000000"/>
          <w:kern w:val="2"/>
          <w:sz w:val="28"/>
          <w:szCs w:val="28"/>
          <w:highlight w:val="yellow"/>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根据绩效考核评分细则，绩效评价小组认为：2022年度就业补助资金基本做到管理制度齐全，资金使用</w:t>
      </w:r>
      <w:r>
        <w:rPr>
          <w:rFonts w:hint="eastAsia" w:asciiTheme="minorEastAsia" w:hAnsiTheme="minorEastAsia" w:eastAsiaTheme="minorEastAsia" w:cstheme="minorEastAsia"/>
          <w:b w:val="0"/>
          <w:bCs w:val="0"/>
          <w:color w:val="000000"/>
          <w:kern w:val="2"/>
          <w:sz w:val="28"/>
          <w:szCs w:val="28"/>
          <w:highlight w:val="none"/>
          <w:lang w:val="en-US" w:eastAsia="zh-CN" w:bidi="ar-SA"/>
        </w:rPr>
        <w:t>较合规。较好完成了2022年目标任务。但由于多种原因的影响，存在项目未按照要求进行绩效申报、补贴发放不符合标准等现象。通过对项目进行绩效评价，得分93分，项目完成任务“优”。其中：</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目标决策总分20分，该项目得分16分，扣4分。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项目管理总分25分，该项目得分22分，扣3分。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项目绩效总分55分，该项目得分55分，未扣分。</w:t>
      </w:r>
    </w:p>
    <w:p>
      <w:pPr>
        <w:ind w:firstLine="560" w:firstLineChars="20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具体见《云溪区就业服务中心2022年度就业补助资金绩效评分表》（附件2）。</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三、存在问题及原因分析</w:t>
      </w:r>
    </w:p>
    <w:p>
      <w:pPr>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（一）项目决策方面</w:t>
      </w:r>
    </w:p>
    <w:p>
      <w:pPr>
        <w:ind w:firstLine="562" w:firstLineChars="200"/>
        <w:rPr>
          <w:rFonts w:ascii="宋体" w:hAnsi="宋体" w:cs="宋体"/>
          <w:b/>
          <w:bCs/>
          <w:color w:val="auto"/>
          <w:sz w:val="28"/>
          <w:szCs w:val="28"/>
        </w:rPr>
      </w:pPr>
      <w:r>
        <w:rPr>
          <w:rFonts w:hint="eastAsia" w:ascii="宋体" w:hAnsi="宋体" w:cs="宋体"/>
          <w:b/>
          <w:bCs/>
          <w:sz w:val="28"/>
          <w:szCs w:val="28"/>
        </w:rPr>
        <w:t>1、未进行绩效目标</w:t>
      </w:r>
      <w:r>
        <w:rPr>
          <w:rFonts w:hint="eastAsia" w:ascii="宋体" w:hAnsi="宋体" w:cs="宋体"/>
          <w:b/>
          <w:bCs/>
          <w:color w:val="auto"/>
          <w:sz w:val="28"/>
          <w:szCs w:val="28"/>
        </w:rPr>
        <w:t>申报</w:t>
      </w:r>
      <w:r>
        <w:rPr>
          <w:rFonts w:hint="eastAsia" w:ascii="宋体" w:hAnsi="宋体" w:cs="宋体"/>
          <w:b/>
          <w:bCs/>
          <w:color w:val="auto"/>
          <w:sz w:val="28"/>
          <w:szCs w:val="28"/>
          <w:lang w:val="en-US" w:eastAsia="zh-CN"/>
        </w:rPr>
        <w:t>以及预算申报</w:t>
      </w:r>
      <w:r>
        <w:rPr>
          <w:rFonts w:hint="eastAsia" w:ascii="宋体" w:hAnsi="宋体" w:cs="宋体"/>
          <w:b/>
          <w:bCs/>
          <w:color w:val="auto"/>
          <w:sz w:val="28"/>
          <w:szCs w:val="28"/>
        </w:rPr>
        <w:t>，影响项目的整体绩效评价</w:t>
      </w:r>
    </w:p>
    <w:p>
      <w:pPr>
        <w:ind w:firstLine="560" w:firstLineChars="200"/>
        <w:rPr>
          <w:rFonts w:ascii="宋体" w:hAnsi="宋体" w:cs="宋体"/>
          <w:sz w:val="28"/>
          <w:szCs w:val="28"/>
        </w:rPr>
      </w:pPr>
      <w:r>
        <w:rPr>
          <w:rFonts w:hint="eastAsia" w:ascii="宋体" w:hAnsi="宋体" w:cs="宋体"/>
          <w:color w:val="auto"/>
          <w:sz w:val="28"/>
          <w:szCs w:val="28"/>
        </w:rPr>
        <w:t>项目单位未提供绩效目标申报表</w:t>
      </w:r>
      <w:r>
        <w:rPr>
          <w:rFonts w:hint="eastAsia" w:ascii="宋体" w:hAnsi="宋体" w:cs="宋体"/>
          <w:color w:val="auto"/>
          <w:sz w:val="28"/>
          <w:szCs w:val="28"/>
          <w:lang w:val="en-US" w:eastAsia="zh-CN"/>
        </w:rPr>
        <w:t>以及未进行预算申报</w:t>
      </w:r>
      <w:r>
        <w:rPr>
          <w:rFonts w:hint="eastAsia" w:ascii="宋体" w:hAnsi="宋体" w:cs="宋体"/>
          <w:color w:val="auto"/>
          <w:sz w:val="28"/>
          <w:szCs w:val="28"/>
        </w:rPr>
        <w:t>，导致</w:t>
      </w:r>
      <w:r>
        <w:rPr>
          <w:rFonts w:hint="eastAsia" w:ascii="宋体" w:hAnsi="宋体" w:cs="宋体"/>
          <w:sz w:val="28"/>
          <w:szCs w:val="28"/>
        </w:rPr>
        <w:t>该项目的绩效目标及绩效目标完成情况不明确，评价组只能以自评报告等辅助材料作为项目绩效目标完成情况的替代，影响项目的整体评价质量。</w:t>
      </w:r>
    </w:p>
    <w:p>
      <w:pPr>
        <w:pStyle w:val="34"/>
        <w:ind w:firstLine="600"/>
        <w:rPr>
          <w:rFonts w:ascii="宋体" w:hAnsi="宋体" w:cs="宋体"/>
          <w:kern w:val="44"/>
          <w:sz w:val="28"/>
          <w:szCs w:val="28"/>
        </w:rPr>
      </w:pPr>
      <w:r>
        <w:rPr>
          <w:rFonts w:hint="eastAsia" w:ascii="宋体" w:hAnsi="宋体" w:cs="宋体"/>
          <w:kern w:val="44"/>
          <w:sz w:val="28"/>
          <w:szCs w:val="28"/>
          <w:lang w:eastAsia="zh-CN"/>
        </w:rPr>
        <w:t>评价小组认为</w:t>
      </w:r>
      <w:r>
        <w:rPr>
          <w:rFonts w:hint="eastAsia" w:ascii="宋体" w:hAnsi="宋体" w:cs="宋体"/>
          <w:kern w:val="44"/>
          <w:sz w:val="28"/>
          <w:szCs w:val="28"/>
        </w:rPr>
        <w:t>：项目单位应按照财政部门、主管部门</w:t>
      </w:r>
      <w:r>
        <w:rPr>
          <w:rFonts w:hint="eastAsia" w:ascii="宋体" w:hAnsi="宋体" w:cs="宋体"/>
          <w:kern w:val="44"/>
          <w:sz w:val="28"/>
          <w:szCs w:val="28"/>
          <w:highlight w:val="none"/>
        </w:rPr>
        <w:t>的要求，应及时提供财政支出绩效目标申报表及</w:t>
      </w:r>
      <w:r>
        <w:rPr>
          <w:rFonts w:hint="eastAsia" w:ascii="宋体" w:hAnsi="宋体" w:cs="宋体"/>
          <w:kern w:val="44"/>
          <w:sz w:val="28"/>
          <w:szCs w:val="28"/>
          <w:highlight w:val="none"/>
          <w:lang w:val="en-US" w:eastAsia="zh-CN"/>
        </w:rPr>
        <w:t>预算申报</w:t>
      </w:r>
      <w:r>
        <w:rPr>
          <w:rFonts w:hint="eastAsia" w:ascii="宋体" w:hAnsi="宋体" w:cs="宋体"/>
          <w:kern w:val="44"/>
          <w:sz w:val="28"/>
          <w:szCs w:val="28"/>
          <w:highlight w:val="none"/>
        </w:rPr>
        <w:t>的有关资料。</w:t>
      </w:r>
    </w:p>
    <w:p>
      <w:pPr>
        <w:ind w:left="420" w:leftChars="200" w:firstLine="281" w:firstLineChars="100"/>
        <w:rPr>
          <w:rFonts w:ascii="宋体" w:hAnsi="宋体" w:cs="宋体"/>
          <w:b/>
          <w:bCs/>
          <w:kern w:val="44"/>
          <w:sz w:val="28"/>
          <w:szCs w:val="28"/>
        </w:rPr>
      </w:pPr>
      <w:r>
        <w:rPr>
          <w:rFonts w:hint="eastAsia" w:ascii="宋体" w:hAnsi="宋体" w:cs="宋体"/>
          <w:b/>
          <w:bCs/>
          <w:kern w:val="44"/>
          <w:sz w:val="28"/>
          <w:szCs w:val="28"/>
        </w:rPr>
        <w:t>2、项目资金</w:t>
      </w:r>
      <w:r>
        <w:rPr>
          <w:rFonts w:hint="eastAsia" w:ascii="宋体" w:hAnsi="宋体" w:cs="宋体"/>
          <w:b/>
          <w:sz w:val="28"/>
          <w:szCs w:val="28"/>
          <w:shd w:val="clear" w:color="auto" w:fill="FFFFFF"/>
        </w:rPr>
        <w:t>缺乏</w:t>
      </w:r>
      <w:r>
        <w:rPr>
          <w:rFonts w:hint="eastAsia" w:ascii="宋体" w:hAnsi="宋体" w:cs="宋体"/>
          <w:b/>
          <w:bCs/>
          <w:kern w:val="44"/>
          <w:sz w:val="28"/>
          <w:szCs w:val="28"/>
        </w:rPr>
        <w:t>相应的资金分配方案</w:t>
      </w:r>
    </w:p>
    <w:p>
      <w:pPr>
        <w:pStyle w:val="24"/>
        <w:ind w:firstLine="560" w:firstLineChars="200"/>
        <w:rPr>
          <w:rFonts w:ascii="宋体" w:hAnsi="宋体" w:cs="宋体"/>
          <w:sz w:val="28"/>
          <w:szCs w:val="28"/>
        </w:rPr>
      </w:pPr>
      <w:r>
        <w:rPr>
          <w:rFonts w:hint="eastAsia" w:ascii="宋体" w:hAnsi="宋体" w:cs="宋体"/>
          <w:sz w:val="28"/>
          <w:szCs w:val="28"/>
        </w:rPr>
        <w:t>该项目未按照绩效管理的要求，制定相应的资金分配办法或者分配方案，合理分配项目资金，绩效目标也不够细化和量化，影响绩效评价工作的质量。</w:t>
      </w:r>
    </w:p>
    <w:p>
      <w:pPr>
        <w:pStyle w:val="24"/>
        <w:ind w:firstLine="560" w:firstLineChars="200"/>
        <w:rPr>
          <w:rFonts w:ascii="宋体" w:hAnsi="宋体" w:cs="宋体"/>
          <w:kern w:val="44"/>
          <w:sz w:val="30"/>
          <w:szCs w:val="30"/>
        </w:rPr>
      </w:pPr>
      <w:r>
        <w:rPr>
          <w:rFonts w:hint="eastAsia" w:ascii="宋体" w:hAnsi="宋体" w:cs="宋体"/>
          <w:sz w:val="28"/>
          <w:szCs w:val="28"/>
          <w:lang w:eastAsia="zh-CN"/>
        </w:rPr>
        <w:t>评价小组认为</w:t>
      </w:r>
      <w:r>
        <w:rPr>
          <w:rFonts w:hint="eastAsia" w:ascii="宋体" w:hAnsi="宋体" w:cs="宋体"/>
          <w:sz w:val="28"/>
          <w:szCs w:val="28"/>
        </w:rPr>
        <w:t>：项目单位应该增强绩效管理理念，严格按照绩效管理的要求，制定项目资金分配办法或者方案，做到项目资金分配因素全面、分配结果合理，提供项目资金的使用效率。</w:t>
      </w:r>
    </w:p>
    <w:p>
      <w:pPr>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val="0"/>
          <w:bCs/>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bCs w:val="0"/>
          <w:i w:val="0"/>
          <w:caps w:val="0"/>
          <w:color w:val="auto"/>
          <w:spacing w:val="0"/>
          <w:sz w:val="28"/>
          <w:szCs w:val="28"/>
          <w:shd w:val="clear" w:color="auto" w:fill="FFFFFF"/>
          <w:lang w:val="en-US" w:eastAsia="zh-CN"/>
        </w:rPr>
        <w:t>（二）项目支出与财务管理方面</w:t>
      </w:r>
    </w:p>
    <w:p>
      <w:pPr>
        <w:pStyle w:val="4"/>
        <w:keepNext w:val="0"/>
        <w:keepLines w:val="0"/>
        <w:pageBreakBefore w:val="0"/>
        <w:widowControl w:val="0"/>
        <w:numPr>
          <w:ilvl w:val="0"/>
          <w:numId w:val="4"/>
        </w:numPr>
        <w:kinsoku/>
        <w:wordWrap/>
        <w:overflowPunct/>
        <w:topLinePunct w:val="0"/>
        <w:autoSpaceDE/>
        <w:autoSpaceDN/>
        <w:bidi w:val="0"/>
        <w:adjustRightInd/>
        <w:snapToGrid/>
        <w:spacing w:line="580" w:lineRule="atLeast"/>
        <w:ind w:left="630" w:leftChars="0" w:firstLine="0" w:firstLineChars="0"/>
        <w:textAlignment w:val="auto"/>
        <w:rPr>
          <w:rFonts w:hint="eastAsia"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补贴发放不符合政策文件规定</w:t>
      </w:r>
    </w:p>
    <w:p>
      <w:pPr>
        <w:numPr>
          <w:ilvl w:val="0"/>
          <w:numId w:val="0"/>
        </w:numPr>
        <w:spacing w:line="360" w:lineRule="auto"/>
        <w:ind w:firstLine="560" w:firstLineChars="200"/>
        <w:rPr>
          <w:rFonts w:hint="default" w:ascii="宋体" w:hAnsi="宋体" w:eastAsia="宋体" w:cs="宋体"/>
          <w:kern w:val="2"/>
          <w:sz w:val="28"/>
          <w:szCs w:val="28"/>
          <w:highlight w:val="yellow"/>
          <w:lang w:val="en-US" w:eastAsia="zh-CN" w:bidi="ar-SA"/>
        </w:rPr>
      </w:pPr>
      <w:r>
        <w:rPr>
          <w:rFonts w:hint="eastAsia" w:ascii="宋体" w:hAnsi="宋体" w:eastAsia="宋体" w:cs="宋体"/>
          <w:kern w:val="2"/>
          <w:sz w:val="28"/>
          <w:szCs w:val="28"/>
          <w:lang w:val="en-US" w:eastAsia="zh-CN" w:bidi="ar-SA"/>
        </w:rPr>
        <w:t>（1）2022年部分单位未按就业见习补贴</w:t>
      </w:r>
      <w:r>
        <w:rPr>
          <w:rFonts w:hint="eastAsia" w:ascii="宋体" w:hAnsi="宋体" w:cs="宋体"/>
          <w:kern w:val="2"/>
          <w:sz w:val="28"/>
          <w:szCs w:val="28"/>
          <w:lang w:val="en-US" w:eastAsia="zh-CN" w:bidi="ar-SA"/>
        </w:rPr>
        <w:t>政策</w:t>
      </w:r>
      <w:r>
        <w:rPr>
          <w:rFonts w:hint="eastAsia" w:ascii="宋体" w:hAnsi="宋体" w:eastAsia="宋体" w:cs="宋体"/>
          <w:kern w:val="2"/>
          <w:sz w:val="28"/>
          <w:szCs w:val="28"/>
          <w:lang w:val="en-US" w:eastAsia="zh-CN" w:bidi="ar-SA"/>
        </w:rPr>
        <w:t>要求</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为见习高校毕业生办理人身意外伤害保险，例如云溪区路口镇卫生院、岳阳市云溪区工商业联合会、湖南瑞源石化股份有限公司、岳阳市九原复合材料有限公司、岳阳市云溪区建设工程有限公司等单位，不符合《关于进一步做好我市高校毕业生就业见习工作的通知》（岳人社{2013}74号）中“见习基地按规定为见习高校毕业生办理人身意外伤害保险”</w:t>
      </w:r>
      <w:r>
        <w:rPr>
          <w:rFonts w:hint="eastAsia" w:ascii="宋体" w:hAnsi="宋体" w:cs="宋体"/>
          <w:kern w:val="2"/>
          <w:sz w:val="28"/>
          <w:szCs w:val="28"/>
          <w:lang w:val="en-US" w:eastAsia="zh-CN" w:bidi="ar-SA"/>
        </w:rPr>
        <w:t>的</w:t>
      </w:r>
      <w:r>
        <w:rPr>
          <w:rFonts w:hint="eastAsia" w:ascii="宋体" w:hAnsi="宋体" w:eastAsia="宋体" w:cs="宋体"/>
          <w:kern w:val="2"/>
          <w:sz w:val="28"/>
          <w:szCs w:val="28"/>
          <w:lang w:val="en-US" w:eastAsia="zh-CN" w:bidi="ar-SA"/>
        </w:rPr>
        <w:t xml:space="preserve">规定。   </w:t>
      </w:r>
    </w:p>
    <w:p>
      <w:pPr>
        <w:pStyle w:val="2"/>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2</w:t>
      </w:r>
      <w:r>
        <w:rPr>
          <w:rFonts w:hint="eastAsia" w:ascii="宋体" w:hAnsi="宋体" w:eastAsia="宋体" w:cs="宋体"/>
          <w:kern w:val="2"/>
          <w:sz w:val="28"/>
          <w:szCs w:val="28"/>
          <w:lang w:val="en-US" w:eastAsia="zh-CN" w:bidi="ar-SA"/>
        </w:rPr>
        <w:t>）根据</w:t>
      </w:r>
      <w:r>
        <w:rPr>
          <w:rFonts w:hint="eastAsia" w:ascii="宋体" w:hAnsi="宋体" w:cs="宋体"/>
          <w:kern w:val="2"/>
          <w:sz w:val="28"/>
          <w:szCs w:val="28"/>
          <w:lang w:val="en-US" w:eastAsia="zh-CN" w:bidi="ar-SA"/>
        </w:rPr>
        <w:t>《湖南省公益性岗位开发管理办法》中“</w:t>
      </w:r>
      <w:r>
        <w:rPr>
          <w:rFonts w:hint="eastAsia" w:ascii="宋体" w:hAnsi="宋体" w:eastAsia="宋体" w:cs="宋体"/>
          <w:kern w:val="2"/>
          <w:sz w:val="28"/>
          <w:szCs w:val="28"/>
          <w:lang w:val="en-US" w:eastAsia="zh-CN" w:bidi="ar-SA"/>
        </w:rPr>
        <w:t>公益性岗位补贴</w:t>
      </w:r>
      <w:r>
        <w:rPr>
          <w:rFonts w:hint="eastAsia" w:ascii="宋体" w:hAnsi="宋体" w:cs="宋体"/>
          <w:kern w:val="2"/>
          <w:sz w:val="28"/>
          <w:szCs w:val="28"/>
          <w:lang w:val="en-US" w:eastAsia="zh-CN" w:bidi="ar-SA"/>
        </w:rPr>
        <w:t>安置对象为我省认定的就业困难人员”的</w:t>
      </w:r>
      <w:r>
        <w:rPr>
          <w:rFonts w:hint="eastAsia" w:ascii="宋体" w:hAnsi="宋体" w:eastAsia="宋体" w:cs="宋体"/>
          <w:kern w:val="2"/>
          <w:sz w:val="28"/>
          <w:szCs w:val="28"/>
          <w:lang w:val="en-US" w:eastAsia="zh-CN" w:bidi="ar-SA"/>
        </w:rPr>
        <w:t>规定，</w:t>
      </w:r>
      <w:r>
        <w:rPr>
          <w:rFonts w:hint="eastAsia" w:ascii="宋体" w:hAnsi="宋体" w:cs="宋体"/>
          <w:kern w:val="2"/>
          <w:sz w:val="28"/>
          <w:szCs w:val="28"/>
          <w:lang w:val="en-US" w:eastAsia="zh-CN" w:bidi="ar-SA"/>
        </w:rPr>
        <w:t>该规定的原意为：</w:t>
      </w:r>
      <w:r>
        <w:rPr>
          <w:rFonts w:hint="eastAsia" w:ascii="宋体" w:hAnsi="宋体" w:eastAsia="宋体" w:cs="宋体"/>
          <w:kern w:val="2"/>
          <w:sz w:val="28"/>
          <w:szCs w:val="28"/>
          <w:lang w:val="en-US" w:eastAsia="zh-CN" w:bidi="ar-SA"/>
        </w:rPr>
        <w:t>公益性岗位补贴</w:t>
      </w:r>
      <w:r>
        <w:rPr>
          <w:rFonts w:hint="eastAsia" w:ascii="宋体" w:hAnsi="宋体" w:cs="宋体"/>
          <w:kern w:val="2"/>
          <w:sz w:val="28"/>
          <w:szCs w:val="28"/>
          <w:lang w:val="en-US" w:eastAsia="zh-CN" w:bidi="ar-SA"/>
        </w:rPr>
        <w:t>安置对象主要</w:t>
      </w:r>
      <w:r>
        <w:rPr>
          <w:rFonts w:hint="eastAsia" w:ascii="宋体" w:hAnsi="宋体" w:eastAsia="宋体" w:cs="宋体"/>
          <w:kern w:val="2"/>
          <w:sz w:val="28"/>
          <w:szCs w:val="28"/>
          <w:lang w:val="en-US" w:eastAsia="zh-CN" w:bidi="ar-SA"/>
        </w:rPr>
        <w:t>为就业困难人员，就业困难人员的核定由省认定</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2022年就业服务中心共计发放公益性岗位补助</w:t>
      </w:r>
      <w:r>
        <w:rPr>
          <w:rFonts w:hint="eastAsia" w:ascii="宋体" w:hAnsi="宋体" w:cs="宋体"/>
          <w:kern w:val="2"/>
          <w:sz w:val="28"/>
          <w:szCs w:val="28"/>
          <w:lang w:val="en-US" w:eastAsia="zh-CN" w:bidi="ar-SA"/>
        </w:rPr>
        <w:t>395.6</w:t>
      </w:r>
      <w:r>
        <w:rPr>
          <w:rFonts w:hint="eastAsia" w:ascii="宋体" w:hAnsi="宋体" w:eastAsia="宋体" w:cs="宋体"/>
          <w:kern w:val="2"/>
          <w:sz w:val="28"/>
          <w:szCs w:val="28"/>
          <w:lang w:val="en-US" w:eastAsia="zh-CN" w:bidi="ar-SA"/>
        </w:rPr>
        <w:t>万</w:t>
      </w:r>
      <w:r>
        <w:rPr>
          <w:rFonts w:hint="eastAsia" w:ascii="宋体" w:hAnsi="宋体" w:cs="宋体"/>
          <w:kern w:val="2"/>
          <w:sz w:val="28"/>
          <w:szCs w:val="28"/>
          <w:lang w:val="en-US" w:eastAsia="zh-CN" w:bidi="ar-SA"/>
        </w:rPr>
        <w:t>元</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就业服务中心将其分为两部分发放，一是</w:t>
      </w:r>
      <w:r>
        <w:rPr>
          <w:rFonts w:hint="eastAsia" w:ascii="宋体" w:hAnsi="宋体" w:eastAsia="宋体" w:cs="宋体"/>
          <w:kern w:val="2"/>
          <w:sz w:val="28"/>
          <w:szCs w:val="28"/>
          <w:lang w:val="en-US" w:eastAsia="zh-CN" w:bidi="ar-SA"/>
        </w:rPr>
        <w:t>乡村振兴公益性岗位补贴</w:t>
      </w:r>
      <w:r>
        <w:rPr>
          <w:rFonts w:hint="eastAsia" w:ascii="宋体" w:hAnsi="宋体" w:cs="宋体"/>
          <w:kern w:val="2"/>
          <w:sz w:val="28"/>
          <w:szCs w:val="28"/>
          <w:highlight w:val="none"/>
          <w:lang w:val="en-US" w:eastAsia="zh-CN" w:bidi="ar-SA"/>
        </w:rPr>
        <w:t>252.65万元</w:t>
      </w:r>
      <w:r>
        <w:rPr>
          <w:rFonts w:hint="eastAsia" w:ascii="宋体" w:hAnsi="宋体" w:eastAsia="宋体" w:cs="宋体"/>
          <w:kern w:val="2"/>
          <w:sz w:val="28"/>
          <w:szCs w:val="28"/>
          <w:highlight w:val="none"/>
          <w:lang w:val="en-US" w:eastAsia="zh-CN" w:bidi="ar-SA"/>
        </w:rPr>
        <w:t>，该部分</w:t>
      </w:r>
      <w:r>
        <w:rPr>
          <w:rFonts w:hint="eastAsia" w:ascii="宋体" w:hAnsi="宋体" w:cs="宋体"/>
          <w:kern w:val="2"/>
          <w:sz w:val="28"/>
          <w:szCs w:val="28"/>
          <w:highlight w:val="none"/>
          <w:lang w:val="en-US" w:eastAsia="zh-CN" w:bidi="ar-SA"/>
        </w:rPr>
        <w:t>申请补贴人员是</w:t>
      </w:r>
      <w:r>
        <w:rPr>
          <w:rFonts w:hint="eastAsia" w:ascii="宋体" w:hAnsi="宋体" w:eastAsia="宋体" w:cs="宋体"/>
          <w:kern w:val="2"/>
          <w:sz w:val="28"/>
          <w:szCs w:val="28"/>
          <w:highlight w:val="none"/>
          <w:lang w:val="en-US" w:eastAsia="zh-CN" w:bidi="ar-SA"/>
        </w:rPr>
        <w:t>由省认定的就业困难人员，就业服务中心审批发放补助，但剩余</w:t>
      </w:r>
      <w:r>
        <w:rPr>
          <w:rFonts w:hint="eastAsia" w:ascii="宋体" w:hAnsi="宋体" w:cs="宋体"/>
          <w:kern w:val="2"/>
          <w:sz w:val="28"/>
          <w:szCs w:val="28"/>
          <w:highlight w:val="none"/>
          <w:lang w:val="en-US" w:eastAsia="zh-CN" w:bidi="ar-SA"/>
        </w:rPr>
        <w:t>142.95万</w:t>
      </w:r>
      <w:r>
        <w:rPr>
          <w:rFonts w:hint="eastAsia" w:ascii="宋体" w:hAnsi="宋体" w:eastAsia="宋体" w:cs="宋体"/>
          <w:kern w:val="2"/>
          <w:sz w:val="28"/>
          <w:szCs w:val="28"/>
          <w:highlight w:val="none"/>
          <w:lang w:val="en-US" w:eastAsia="zh-CN" w:bidi="ar-SA"/>
        </w:rPr>
        <w:t>元的公益性岗位补贴，对就业困难人</w:t>
      </w:r>
      <w:r>
        <w:rPr>
          <w:rFonts w:hint="eastAsia" w:ascii="宋体" w:hAnsi="宋体" w:eastAsia="宋体" w:cs="宋体"/>
          <w:kern w:val="2"/>
          <w:sz w:val="28"/>
          <w:szCs w:val="28"/>
          <w:lang w:val="en-US" w:eastAsia="zh-CN" w:bidi="ar-SA"/>
        </w:rPr>
        <w:t>员的认定由居委会自主申请，仅凭居委会自主入户调查报告</w:t>
      </w:r>
      <w:r>
        <w:rPr>
          <w:rFonts w:hint="eastAsia" w:ascii="宋体" w:hAnsi="宋体" w:cs="宋体"/>
          <w:kern w:val="2"/>
          <w:sz w:val="28"/>
          <w:szCs w:val="28"/>
          <w:lang w:val="en-US" w:eastAsia="zh-CN" w:bidi="ar-SA"/>
        </w:rPr>
        <w:t>、签订</w:t>
      </w:r>
      <w:r>
        <w:rPr>
          <w:rFonts w:hint="eastAsia" w:ascii="宋体" w:hAnsi="宋体" w:eastAsia="宋体" w:cs="宋体"/>
          <w:kern w:val="2"/>
          <w:sz w:val="28"/>
          <w:szCs w:val="28"/>
          <w:lang w:val="en-US" w:eastAsia="zh-CN" w:bidi="ar-SA"/>
        </w:rPr>
        <w:t>协议</w:t>
      </w:r>
      <w:r>
        <w:rPr>
          <w:rFonts w:hint="eastAsia" w:ascii="宋体" w:hAnsi="宋体" w:cs="宋体"/>
          <w:kern w:val="2"/>
          <w:sz w:val="28"/>
          <w:szCs w:val="28"/>
          <w:lang w:val="en-US" w:eastAsia="zh-CN" w:bidi="ar-SA"/>
        </w:rPr>
        <w:t>后</w:t>
      </w:r>
      <w:r>
        <w:rPr>
          <w:rFonts w:hint="eastAsia" w:ascii="宋体" w:hAnsi="宋体" w:eastAsia="宋体" w:cs="宋体"/>
          <w:kern w:val="2"/>
          <w:sz w:val="28"/>
          <w:szCs w:val="28"/>
          <w:lang w:val="en-US" w:eastAsia="zh-CN" w:bidi="ar-SA"/>
        </w:rPr>
        <w:t>，认定就业困难人员申请发放</w:t>
      </w:r>
      <w:r>
        <w:rPr>
          <w:rFonts w:hint="eastAsia" w:ascii="宋体" w:hAnsi="宋体" w:cs="宋体"/>
          <w:kern w:val="2"/>
          <w:sz w:val="28"/>
          <w:szCs w:val="28"/>
          <w:lang w:val="en-US" w:eastAsia="zh-CN" w:bidi="ar-SA"/>
        </w:rPr>
        <w:t>补贴</w:t>
      </w:r>
      <w:r>
        <w:rPr>
          <w:rFonts w:hint="eastAsia" w:ascii="宋体" w:hAnsi="宋体" w:eastAsia="宋体" w:cs="宋体"/>
          <w:kern w:val="2"/>
          <w:sz w:val="28"/>
          <w:szCs w:val="28"/>
          <w:lang w:val="en-US" w:eastAsia="zh-CN" w:bidi="ar-SA"/>
        </w:rPr>
        <w:t>，未经省认定</w:t>
      </w:r>
      <w:r>
        <w:rPr>
          <w:rFonts w:hint="eastAsia" w:ascii="宋体" w:hAnsi="宋体" w:cs="宋体"/>
          <w:kern w:val="2"/>
          <w:sz w:val="28"/>
          <w:szCs w:val="28"/>
          <w:lang w:val="en-US" w:eastAsia="zh-CN" w:bidi="ar-SA"/>
        </w:rPr>
        <w:t>。</w:t>
      </w:r>
    </w:p>
    <w:p>
      <w:pPr>
        <w:spacing w:line="360" w:lineRule="auto"/>
        <w:ind w:firstLine="555"/>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2、补贴发放不严谨</w:t>
      </w:r>
    </w:p>
    <w:p>
      <w:pPr>
        <w:spacing w:line="360" w:lineRule="auto"/>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w:t>
      </w:r>
      <w:r>
        <w:rPr>
          <w:rFonts w:hint="eastAsia" w:ascii="宋体" w:hAnsi="宋体" w:cs="宋体"/>
          <w:kern w:val="2"/>
          <w:sz w:val="28"/>
          <w:szCs w:val="28"/>
          <w:lang w:val="en-US" w:eastAsia="zh-CN" w:bidi="ar-SA"/>
        </w:rPr>
        <w:t>2022年</w:t>
      </w:r>
      <w:r>
        <w:rPr>
          <w:rFonts w:hint="eastAsia" w:ascii="宋体" w:hAnsi="宋体" w:eastAsia="宋体" w:cs="宋体"/>
          <w:kern w:val="2"/>
          <w:sz w:val="28"/>
          <w:szCs w:val="28"/>
          <w:lang w:val="en-US" w:eastAsia="zh-CN" w:bidi="ar-SA"/>
        </w:rPr>
        <w:t>发放岳阳市云溪区人民医院2019年至2020年见习补贴183</w:t>
      </w:r>
      <w:r>
        <w:rPr>
          <w:rFonts w:hint="eastAsia" w:ascii="宋体" w:hAnsi="宋体" w:cs="宋体"/>
          <w:kern w:val="2"/>
          <w:sz w:val="28"/>
          <w:szCs w:val="28"/>
          <w:lang w:val="en-US" w:eastAsia="zh-CN" w:bidi="ar-SA"/>
        </w:rPr>
        <w:t>,</w:t>
      </w:r>
      <w:r>
        <w:rPr>
          <w:rFonts w:hint="eastAsia" w:ascii="宋体" w:hAnsi="宋体" w:eastAsia="宋体" w:cs="宋体"/>
          <w:kern w:val="2"/>
          <w:sz w:val="28"/>
          <w:szCs w:val="28"/>
          <w:lang w:val="en-US" w:eastAsia="zh-CN" w:bidi="ar-SA"/>
        </w:rPr>
        <w:t>920元，其中三人见习时间为2019年至</w:t>
      </w:r>
      <w:r>
        <w:rPr>
          <w:rFonts w:hint="eastAsia" w:ascii="宋体" w:hAnsi="宋体" w:eastAsia="宋体" w:cs="宋体"/>
          <w:color w:val="auto"/>
          <w:kern w:val="2"/>
          <w:sz w:val="28"/>
          <w:szCs w:val="28"/>
          <w:lang w:val="en-US" w:eastAsia="zh-CN" w:bidi="ar-SA"/>
        </w:rPr>
        <w:t>2020年，时间</w:t>
      </w:r>
      <w:r>
        <w:rPr>
          <w:rFonts w:hint="eastAsia" w:ascii="宋体" w:hAnsi="宋体" w:cs="宋体"/>
          <w:color w:val="auto"/>
          <w:kern w:val="2"/>
          <w:sz w:val="28"/>
          <w:szCs w:val="28"/>
          <w:lang w:val="en-US" w:eastAsia="zh-CN" w:bidi="ar-SA"/>
        </w:rPr>
        <w:t>跨度</w:t>
      </w:r>
      <w:r>
        <w:rPr>
          <w:rFonts w:hint="eastAsia" w:ascii="宋体" w:hAnsi="宋体" w:eastAsia="宋体" w:cs="宋体"/>
          <w:color w:val="auto"/>
          <w:kern w:val="2"/>
          <w:sz w:val="28"/>
          <w:szCs w:val="28"/>
          <w:lang w:val="en-US" w:eastAsia="zh-CN" w:bidi="ar-SA"/>
        </w:rPr>
        <w:t>过长，</w:t>
      </w:r>
      <w:r>
        <w:rPr>
          <w:rFonts w:hint="eastAsia" w:ascii="宋体" w:hAnsi="宋体" w:cs="宋体"/>
          <w:color w:val="auto"/>
          <w:kern w:val="2"/>
          <w:sz w:val="28"/>
          <w:szCs w:val="28"/>
          <w:lang w:val="en-US" w:eastAsia="zh-CN" w:bidi="ar-SA"/>
        </w:rPr>
        <w:t>根据文件规定，</w:t>
      </w:r>
      <w:r>
        <w:rPr>
          <w:rFonts w:hint="eastAsia" w:ascii="宋体" w:hAnsi="宋体" w:eastAsia="宋体" w:cs="宋体"/>
          <w:color w:val="auto"/>
          <w:kern w:val="2"/>
          <w:sz w:val="28"/>
          <w:szCs w:val="28"/>
          <w:lang w:val="en-US" w:eastAsia="zh-CN" w:bidi="ar-SA"/>
        </w:rPr>
        <w:t>2022年的见习补贴专项资金应发放2021年见习人员。</w:t>
      </w:r>
      <w:r>
        <w:rPr>
          <w:rFonts w:hint="eastAsia" w:ascii="宋体" w:hAnsi="宋体" w:cs="宋体"/>
          <w:color w:val="auto"/>
          <w:kern w:val="2"/>
          <w:sz w:val="28"/>
          <w:szCs w:val="28"/>
          <w:lang w:val="en-US" w:eastAsia="zh-CN" w:bidi="ar-SA"/>
        </w:rPr>
        <w:t xml:space="preserve">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atLeast"/>
        <w:ind w:firstLine="560" w:firstLineChars="200"/>
        <w:textAlignment w:val="auto"/>
        <w:rPr>
          <w:rFonts w:hint="default"/>
          <w:highlight w:val="none"/>
          <w:lang w:val="en-US" w:eastAsia="zh-CN"/>
        </w:rPr>
      </w:pPr>
      <w:r>
        <w:rPr>
          <w:rFonts w:hint="eastAsia" w:ascii="宋体" w:hAnsi="宋体" w:eastAsia="宋体" w:cs="宋体"/>
          <w:kern w:val="2"/>
          <w:sz w:val="28"/>
          <w:szCs w:val="28"/>
          <w:lang w:val="en-US" w:eastAsia="zh-CN" w:bidi="ar-SA"/>
        </w:rPr>
        <w:t>（2）发放岳阳</w:t>
      </w:r>
      <w:r>
        <w:rPr>
          <w:rFonts w:hint="eastAsia" w:ascii="宋体" w:hAnsi="宋体" w:eastAsia="宋体" w:cs="宋体"/>
          <w:color w:val="auto"/>
          <w:kern w:val="2"/>
          <w:sz w:val="28"/>
          <w:szCs w:val="28"/>
          <w:lang w:val="en-US" w:eastAsia="zh-CN" w:bidi="ar-SA"/>
        </w:rPr>
        <w:t>市九原复合材料有限公司2019年至2020年见习补贴20790元，三人见习时间为2019年，时间</w:t>
      </w:r>
      <w:r>
        <w:rPr>
          <w:rFonts w:hint="eastAsia" w:ascii="宋体" w:hAnsi="宋体" w:cs="宋体"/>
          <w:color w:val="auto"/>
          <w:kern w:val="2"/>
          <w:sz w:val="28"/>
          <w:szCs w:val="28"/>
          <w:lang w:val="en-US" w:eastAsia="zh-CN" w:bidi="ar-SA"/>
        </w:rPr>
        <w:t>跨度</w:t>
      </w:r>
      <w:r>
        <w:rPr>
          <w:rFonts w:hint="eastAsia" w:ascii="宋体" w:hAnsi="宋体" w:eastAsia="宋体" w:cs="宋体"/>
          <w:color w:val="auto"/>
          <w:kern w:val="2"/>
          <w:sz w:val="28"/>
          <w:szCs w:val="28"/>
          <w:lang w:val="en-US" w:eastAsia="zh-CN" w:bidi="ar-SA"/>
        </w:rPr>
        <w:t>过长，</w:t>
      </w:r>
      <w:r>
        <w:rPr>
          <w:rFonts w:hint="eastAsia" w:ascii="宋体" w:hAnsi="宋体" w:cs="宋体"/>
          <w:color w:val="auto"/>
          <w:kern w:val="2"/>
          <w:sz w:val="28"/>
          <w:szCs w:val="28"/>
          <w:lang w:val="en-US" w:eastAsia="zh-CN" w:bidi="ar-SA"/>
        </w:rPr>
        <w:t>根据文件规定，</w:t>
      </w:r>
      <w:r>
        <w:rPr>
          <w:rFonts w:hint="eastAsia" w:ascii="宋体" w:hAnsi="宋体" w:eastAsia="宋体" w:cs="宋体"/>
          <w:color w:val="auto"/>
          <w:kern w:val="2"/>
          <w:sz w:val="28"/>
          <w:szCs w:val="28"/>
          <w:lang w:val="en-US" w:eastAsia="zh-CN" w:bidi="ar-SA"/>
        </w:rPr>
        <w:t>2022年的见习补贴专项资金应发放2021年见习人员</w:t>
      </w:r>
      <w:r>
        <w:rPr>
          <w:rFonts w:hint="eastAsia" w:ascii="宋体" w:hAnsi="宋体" w:eastAsia="宋体" w:cs="宋体"/>
          <w:kern w:val="2"/>
          <w:sz w:val="28"/>
          <w:szCs w:val="28"/>
          <w:lang w:val="en-US" w:eastAsia="zh-CN" w:bidi="ar-SA"/>
        </w:rPr>
        <w:t>。</w:t>
      </w:r>
    </w:p>
    <w:p>
      <w:pPr>
        <w:pStyle w:val="5"/>
        <w:ind w:left="0" w:leftChars="0" w:firstLine="562" w:firstLineChars="200"/>
        <w:rPr>
          <w:rFonts w:hint="default"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3、信息化管理滞后、未按要求设立线下台账管理</w:t>
      </w:r>
    </w:p>
    <w:p>
      <w:pPr>
        <w:pStyle w:val="5"/>
        <w:spacing w:line="360" w:lineRule="auto"/>
        <w:ind w:left="0" w:leftChars="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kern w:val="2"/>
          <w:sz w:val="28"/>
          <w:szCs w:val="28"/>
          <w:lang w:val="en-US" w:eastAsia="zh-CN" w:bidi="ar-SA"/>
        </w:rPr>
        <w:t>2022年度就业补</w:t>
      </w:r>
      <w:r>
        <w:rPr>
          <w:rFonts w:hint="eastAsia" w:ascii="宋体" w:hAnsi="宋体" w:eastAsia="宋体" w:cs="宋体"/>
          <w:color w:val="auto"/>
          <w:kern w:val="2"/>
          <w:sz w:val="28"/>
          <w:szCs w:val="28"/>
          <w:lang w:val="en-US" w:eastAsia="zh-CN" w:bidi="ar-SA"/>
        </w:rPr>
        <w:t>助资金共计支出</w:t>
      </w:r>
      <w:r>
        <w:rPr>
          <w:rFonts w:hint="eastAsia" w:asciiTheme="minorEastAsia" w:hAnsiTheme="minorEastAsia" w:eastAsiaTheme="minorEastAsia" w:cstheme="minorEastAsia"/>
          <w:bCs/>
          <w:color w:val="auto"/>
          <w:kern w:val="2"/>
          <w:sz w:val="28"/>
          <w:szCs w:val="28"/>
          <w:lang w:val="en-US" w:eastAsia="zh-CN" w:bidi="ar-SA"/>
        </w:rPr>
        <w:t>975.12万元，主要用于八个专项补贴，八个专项补贴中补贴人数较多，信息化系统无法导出补贴人员名单，就业服务中心也未将申请补贴人员录入台账管理</w:t>
      </w:r>
      <w:r>
        <w:rPr>
          <w:rFonts w:hint="eastAsia" w:ascii="宋体" w:hAnsi="宋体" w:eastAsia="宋体" w:cs="宋体"/>
          <w:color w:val="auto"/>
          <w:kern w:val="2"/>
          <w:sz w:val="28"/>
          <w:szCs w:val="28"/>
          <w:lang w:val="en-US" w:eastAsia="zh-CN" w:bidi="ar-SA"/>
        </w:rPr>
        <w:t>，因项目单位未能提供补贴人员电子表格名单，绩效评价小组无法筛选是否有重复领取专项资金的情况。</w:t>
      </w:r>
    </w:p>
    <w:p>
      <w:pPr>
        <w:pStyle w:val="5"/>
        <w:numPr>
          <w:ilvl w:val="0"/>
          <w:numId w:val="5"/>
        </w:numPr>
        <w:spacing w:line="360" w:lineRule="auto"/>
        <w:ind w:left="0" w:leftChars="0"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有关建议</w:t>
      </w:r>
    </w:p>
    <w:p>
      <w:pPr>
        <w:pStyle w:val="5"/>
        <w:numPr>
          <w:ilvl w:val="0"/>
          <w:numId w:val="0"/>
        </w:num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rPr>
        <w:t>增强绩效管理理念、严格履行绩效管理流程</w:t>
      </w:r>
    </w:p>
    <w:p>
      <w:pPr>
        <w:pStyle w:val="34"/>
        <w:spacing w:line="360" w:lineRule="auto"/>
        <w:ind w:firstLine="600"/>
        <w:rPr>
          <w:rFonts w:ascii="宋体" w:hAnsi="宋体" w:cs="宋体"/>
          <w:kern w:val="44"/>
          <w:sz w:val="28"/>
          <w:szCs w:val="28"/>
        </w:rPr>
      </w:pPr>
      <w:r>
        <w:rPr>
          <w:rFonts w:hint="eastAsia" w:ascii="宋体" w:hAnsi="宋体" w:cs="宋体"/>
          <w:kern w:val="44"/>
          <w:sz w:val="28"/>
          <w:szCs w:val="28"/>
        </w:rPr>
        <w:t>项目单位应按照财政部门、主管部门的要求，在项目实施前应及时向财政部门提交绩效目标申报，并保存项目产出的有关资料；</w:t>
      </w:r>
      <w:r>
        <w:rPr>
          <w:rFonts w:hint="eastAsia" w:ascii="宋体" w:hAnsi="宋体" w:cs="宋体"/>
          <w:sz w:val="28"/>
          <w:szCs w:val="28"/>
        </w:rPr>
        <w:t>同时，项目单位应严格按照绩效管理的要求，制定项目资金分配办法或者方案，做到项目资金分配因素全面、分配结果合理，提高项目资金的使用效率。</w:t>
      </w:r>
    </w:p>
    <w:p>
      <w:pPr>
        <w:pStyle w:val="2"/>
        <w:numPr>
          <w:ilvl w:val="0"/>
          <w:numId w:val="0"/>
        </w:numPr>
        <w:spacing w:line="360" w:lineRule="auto"/>
        <w:ind w:left="630" w:leftChars="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强化项目全过程管理，提高政策执行力度。</w:t>
      </w:r>
    </w:p>
    <w:p>
      <w:pPr>
        <w:pStyle w:val="2"/>
        <w:numPr>
          <w:ilvl w:val="0"/>
          <w:numId w:val="0"/>
        </w:numPr>
        <w:spacing w:line="360" w:lineRule="auto"/>
        <w:ind w:firstLine="560" w:firstLineChars="200"/>
        <w:rPr>
          <w:rFonts w:hint="default" w:asciiTheme="minorEastAsia" w:hAnsiTheme="minorEastAsia" w:eastAsiaTheme="minorEastAsia" w:cstheme="minorEastAsia"/>
          <w:b w:val="0"/>
          <w:bCs w:val="0"/>
          <w:kern w:val="2"/>
          <w:sz w:val="28"/>
          <w:szCs w:val="28"/>
          <w:lang w:val="en-US" w:eastAsia="zh-CN" w:bidi="ar-SA"/>
        </w:rPr>
      </w:pPr>
      <w:r>
        <w:rPr>
          <w:rFonts w:hint="eastAsia" w:ascii="宋体" w:hAnsi="宋体" w:cs="宋体"/>
          <w:sz w:val="28"/>
          <w:szCs w:val="28"/>
        </w:rPr>
        <w:t>进一步强化项目全过程管理，项目主管单位应加大项目实施的过程监督，严格执行国家财经法规。资金使用单位加强资金的管理，从严控制项目支出，加强对项目资金使用的监督，确保项目实施全过程合规、合法，较好的实现项目实施目标。</w:t>
      </w:r>
    </w:p>
    <w:p>
      <w:pPr>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五</w:t>
      </w:r>
      <w:r>
        <w:rPr>
          <w:rFonts w:hint="eastAsia" w:asciiTheme="minorEastAsia" w:hAnsiTheme="minorEastAsia" w:eastAsiaTheme="minorEastAsia" w:cstheme="minorEastAsia"/>
          <w:b/>
          <w:sz w:val="28"/>
          <w:szCs w:val="28"/>
        </w:rPr>
        <w:t>、其他需要说明的问题</w:t>
      </w:r>
    </w:p>
    <w:p>
      <w:pPr>
        <w:ind w:firstLine="560" w:firstLineChars="200"/>
        <w:rPr>
          <w:rFonts w:hint="eastAsia" w:ascii="宋体" w:hAnsi="宋体" w:eastAsia="宋体" w:cs="宋体"/>
          <w:color w:val="000000"/>
          <w:sz w:val="28"/>
          <w:szCs w:val="28"/>
        </w:rPr>
      </w:pPr>
      <w:r>
        <w:rPr>
          <w:rFonts w:hint="eastAsia" w:asciiTheme="minorEastAsia" w:hAnsiTheme="minorEastAsia" w:eastAsiaTheme="minorEastAsia" w:cstheme="minorEastAsia"/>
          <w:color w:val="000000"/>
          <w:sz w:val="28"/>
          <w:szCs w:val="28"/>
        </w:rPr>
        <w:t xml:space="preserve"> 1、本报告数据仅根据</w:t>
      </w:r>
      <w:r>
        <w:rPr>
          <w:rFonts w:hint="eastAsia" w:asciiTheme="minorEastAsia" w:hAnsiTheme="minorEastAsia" w:eastAsiaTheme="minorEastAsia" w:cstheme="minorEastAsia"/>
          <w:sz w:val="28"/>
          <w:szCs w:val="28"/>
        </w:rPr>
        <w:t>项目单位</w:t>
      </w:r>
      <w:r>
        <w:rPr>
          <w:rFonts w:hint="eastAsia" w:asciiTheme="minorEastAsia" w:hAnsiTheme="minorEastAsia" w:eastAsiaTheme="minorEastAsia" w:cstheme="minorEastAsia"/>
          <w:color w:val="000000"/>
          <w:sz w:val="28"/>
          <w:szCs w:val="28"/>
        </w:rPr>
        <w:t>提供的文件、资料、原始</w:t>
      </w:r>
      <w:r>
        <w:rPr>
          <w:rFonts w:hint="eastAsia" w:asciiTheme="minorEastAsia" w:hAnsiTheme="minorEastAsia" w:eastAsiaTheme="minorEastAsia" w:cstheme="minorEastAsia"/>
          <w:color w:val="000000"/>
          <w:sz w:val="28"/>
          <w:szCs w:val="28"/>
          <w:lang w:val="en-US" w:eastAsia="zh-CN"/>
        </w:rPr>
        <w:t>凭</w:t>
      </w:r>
      <w:r>
        <w:rPr>
          <w:rFonts w:hint="eastAsia" w:asciiTheme="minorEastAsia" w:hAnsiTheme="minorEastAsia" w:eastAsiaTheme="minorEastAsia" w:cstheme="minorEastAsia"/>
          <w:color w:val="000000"/>
          <w:sz w:val="28"/>
          <w:szCs w:val="28"/>
        </w:rPr>
        <w:t>证、清单数据及内</w:t>
      </w:r>
      <w:r>
        <w:rPr>
          <w:rFonts w:hint="eastAsia" w:ascii="宋体" w:hAnsi="宋体" w:eastAsia="宋体" w:cs="宋体"/>
          <w:color w:val="000000"/>
          <w:sz w:val="28"/>
          <w:szCs w:val="28"/>
        </w:rPr>
        <w:t>容进行的</w:t>
      </w:r>
      <w:r>
        <w:rPr>
          <w:rFonts w:hint="eastAsia" w:ascii="宋体" w:hAnsi="宋体" w:eastAsia="宋体" w:cs="宋体"/>
          <w:color w:val="000000"/>
          <w:sz w:val="28"/>
          <w:szCs w:val="28"/>
          <w:lang w:eastAsia="zh-CN"/>
        </w:rPr>
        <w:t>评价</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绩效评价</w:t>
      </w:r>
      <w:r>
        <w:rPr>
          <w:rFonts w:hint="eastAsia" w:ascii="宋体" w:hAnsi="宋体" w:eastAsia="宋体" w:cs="宋体"/>
          <w:color w:val="000000"/>
          <w:sz w:val="28"/>
          <w:szCs w:val="28"/>
        </w:rPr>
        <w:t>意见和观点是在</w:t>
      </w:r>
      <w:r>
        <w:rPr>
          <w:rFonts w:hint="eastAsia" w:ascii="宋体" w:hAnsi="宋体" w:eastAsia="宋体" w:cs="宋体"/>
          <w:color w:val="000000"/>
          <w:sz w:val="28"/>
          <w:szCs w:val="28"/>
          <w:lang w:eastAsia="zh-CN"/>
        </w:rPr>
        <w:t>规定</w:t>
      </w:r>
      <w:r>
        <w:rPr>
          <w:rFonts w:hint="eastAsia" w:ascii="宋体" w:hAnsi="宋体" w:eastAsia="宋体" w:cs="宋体"/>
          <w:color w:val="000000"/>
          <w:sz w:val="28"/>
          <w:szCs w:val="28"/>
        </w:rPr>
        <w:t>时点的基础上出具的，</w:t>
      </w:r>
      <w:r>
        <w:rPr>
          <w:rFonts w:hint="eastAsia" w:ascii="宋体" w:hAnsi="宋体" w:eastAsia="宋体" w:cs="宋体"/>
          <w:color w:val="000000"/>
          <w:sz w:val="28"/>
          <w:szCs w:val="28"/>
          <w:lang w:eastAsia="zh-CN"/>
        </w:rPr>
        <w:t>本报告不包含之后项目的动态变化情况</w:t>
      </w:r>
      <w:r>
        <w:rPr>
          <w:rFonts w:hint="eastAsia" w:ascii="宋体" w:hAnsi="宋体" w:eastAsia="宋体" w:cs="宋体"/>
          <w:color w:val="000000"/>
          <w:sz w:val="28"/>
          <w:szCs w:val="28"/>
        </w:rPr>
        <w:t>。</w:t>
      </w:r>
    </w:p>
    <w:p>
      <w:pPr>
        <w:rPr>
          <w:rFonts w:hint="eastAsia" w:ascii="宋体" w:hAnsi="宋体" w:eastAsia="宋体" w:cs="宋体"/>
          <w:color w:val="000000"/>
          <w:sz w:val="28"/>
          <w:szCs w:val="28"/>
          <w:lang w:eastAsia="zh-CN"/>
        </w:rPr>
      </w:pPr>
      <w:r>
        <w:rPr>
          <w:rFonts w:hint="eastAsia" w:ascii="宋体" w:hAnsi="宋体" w:eastAsia="宋体" w:cs="宋体"/>
          <w:sz w:val="28"/>
          <w:szCs w:val="28"/>
        </w:rPr>
        <w:t xml:space="preserve">  </w:t>
      </w:r>
      <w:r>
        <w:rPr>
          <w:rFonts w:hint="eastAsia" w:ascii="宋体" w:hAnsi="宋体" w:eastAsia="宋体" w:cs="宋体"/>
          <w:color w:val="000000"/>
          <w:sz w:val="28"/>
          <w:szCs w:val="28"/>
          <w:lang w:eastAsia="zh-CN"/>
        </w:rPr>
        <w:t xml:space="preserve">   2、本报告仅供</w:t>
      </w:r>
      <w:r>
        <w:rPr>
          <w:rFonts w:hint="eastAsia" w:ascii="宋体" w:hAnsi="宋体" w:cs="宋体"/>
          <w:color w:val="000000"/>
          <w:sz w:val="28"/>
          <w:szCs w:val="28"/>
          <w:lang w:val="en-US" w:eastAsia="zh-CN"/>
        </w:rPr>
        <w:t>2022年度就业补助</w:t>
      </w:r>
      <w:r>
        <w:rPr>
          <w:rFonts w:hint="eastAsia" w:ascii="宋体" w:hAnsi="宋体" w:eastAsia="宋体" w:cs="宋体"/>
          <w:color w:val="000000"/>
          <w:sz w:val="28"/>
          <w:szCs w:val="28"/>
          <w:lang w:val="en-US" w:eastAsia="zh-CN"/>
        </w:rPr>
        <w:t>专项资金</w:t>
      </w:r>
      <w:r>
        <w:rPr>
          <w:rFonts w:hint="eastAsia" w:ascii="宋体" w:hAnsi="宋体" w:eastAsia="宋体" w:cs="宋体"/>
          <w:color w:val="000000"/>
          <w:sz w:val="28"/>
          <w:szCs w:val="28"/>
          <w:lang w:eastAsia="zh-CN"/>
        </w:rPr>
        <w:t>绩效评价评分表提供的绩效评价依据，不能作为其他用途。</w:t>
      </w:r>
    </w:p>
    <w:p>
      <w:pPr>
        <w:ind w:firstLine="560" w:firstLineChars="200"/>
        <w:rPr>
          <w:rFonts w:hint="eastAsia" w:asciiTheme="minorEastAsia" w:hAnsiTheme="minorEastAsia" w:eastAsiaTheme="minorEastAsia" w:cstheme="minorEastAsia"/>
          <w:sz w:val="28"/>
          <w:szCs w:val="28"/>
        </w:rPr>
      </w:pPr>
      <w:r>
        <w:rPr>
          <w:rFonts w:hint="eastAsia" w:ascii="宋体" w:hAnsi="宋体" w:eastAsia="宋体" w:cs="宋体"/>
          <w:sz w:val="28"/>
          <w:szCs w:val="28"/>
        </w:rPr>
        <w:t>以上因使用不当造成任何后果与本报告执业注册会计师及本事务所无关。</w:t>
      </w:r>
    </w:p>
    <w:p>
      <w:pPr>
        <w:spacing w:line="30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云溪区就业服务中心2022年度就业补助资金绩效评价指标体系</w:t>
      </w:r>
      <w:r>
        <w:rPr>
          <w:rFonts w:hint="eastAsia" w:asciiTheme="minorEastAsia" w:hAnsiTheme="minorEastAsia" w:eastAsiaTheme="minorEastAsia" w:cstheme="minorEastAsia"/>
          <w:sz w:val="28"/>
          <w:szCs w:val="28"/>
          <w:highlight w:val="none"/>
        </w:rPr>
        <w:t>》</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云溪区就业服务中心2022年度就业补助资金绩效评分表</w:t>
      </w:r>
      <w:r>
        <w:rPr>
          <w:rFonts w:hint="eastAsia" w:asciiTheme="minorEastAsia" w:hAnsiTheme="minorEastAsia" w:eastAsiaTheme="minorEastAsia" w:cstheme="minorEastAsia"/>
          <w:sz w:val="28"/>
          <w:szCs w:val="28"/>
          <w:highlight w:val="none"/>
        </w:rPr>
        <w:t>》</w:t>
      </w:r>
    </w:p>
    <w:p>
      <w:pPr>
        <w:pStyle w:val="34"/>
        <w:ind w:firstLine="560"/>
        <w:rPr>
          <w:rFonts w:hint="default"/>
          <w:lang w:val="en-US" w:eastAsia="zh-CN"/>
        </w:rPr>
      </w:pPr>
    </w:p>
    <w:p>
      <w:pPr>
        <w:pStyle w:val="34"/>
        <w:ind w:firstLine="560"/>
        <w:rPr>
          <w:rFonts w:hint="default"/>
          <w:lang w:val="en-US" w:eastAsia="zh-CN"/>
        </w:rPr>
      </w:pPr>
    </w:p>
    <w:p>
      <w:pPr>
        <w:pStyle w:val="34"/>
        <w:ind w:firstLine="560"/>
        <w:rPr>
          <w:rFonts w:hint="default"/>
          <w:lang w:val="en-US" w:eastAsia="zh-CN"/>
        </w:rPr>
      </w:pPr>
    </w:p>
    <w:p>
      <w:pPr>
        <w:pStyle w:val="34"/>
        <w:ind w:firstLine="560"/>
        <w:rPr>
          <w:rFonts w:hint="default"/>
          <w:lang w:val="en-US" w:eastAsia="zh-CN"/>
        </w:rPr>
      </w:pPr>
    </w:p>
    <w:p>
      <w:pPr>
        <w:pStyle w:val="34"/>
        <w:ind w:firstLine="56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4480" w:firstLineChars="16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 xml:space="preserve">湖南公众会计师事务所有限公司      </w:t>
      </w:r>
    </w:p>
    <w:p>
      <w:pPr>
        <w:rPr>
          <w:rFonts w:hint="eastAsia" w:ascii="宋体" w:hAnsi="宋体" w:eastAsia="宋体" w:cs="宋体"/>
          <w:b/>
          <w:sz w:val="30"/>
          <w:szCs w:val="30"/>
          <w:lang w:eastAsia="zh-CN"/>
        </w:rPr>
      </w:pPr>
      <w:r>
        <w:rPr>
          <w:rFonts w:hint="eastAsia" w:asciiTheme="minorEastAsia" w:hAnsiTheme="minorEastAsia" w:eastAsiaTheme="minorEastAsia" w:cstheme="minorEastAsia"/>
          <w:b/>
          <w:color w:val="000000"/>
          <w:kern w:val="0"/>
          <w:sz w:val="28"/>
          <w:szCs w:val="28"/>
          <w:lang w:val="en-US" w:eastAsia="zh-CN"/>
        </w:rPr>
        <w:t xml:space="preserve">                              </w:t>
      </w:r>
      <w:r>
        <w:rPr>
          <w:rFonts w:hint="eastAsia" w:ascii="宋体" w:hAnsi="宋体" w:eastAsia="宋体" w:cs="宋体"/>
          <w:b w:val="0"/>
          <w:bCs w:val="0"/>
          <w:kern w:val="2"/>
          <w:sz w:val="28"/>
          <w:szCs w:val="28"/>
          <w:highlight w:val="none"/>
          <w:lang w:val="en-US" w:eastAsia="zh-CN" w:bidi="ar-SA"/>
        </w:rPr>
        <w:t xml:space="preserve">      202</w:t>
      </w:r>
      <w:r>
        <w:rPr>
          <w:rFonts w:hint="eastAsia" w:ascii="宋体" w:hAnsi="宋体" w:cs="宋体"/>
          <w:b w:val="0"/>
          <w:bCs w:val="0"/>
          <w:kern w:val="2"/>
          <w:sz w:val="28"/>
          <w:szCs w:val="28"/>
          <w:highlight w:val="none"/>
          <w:lang w:val="en-US" w:eastAsia="zh-CN" w:bidi="ar-SA"/>
        </w:rPr>
        <w:t>3</w:t>
      </w:r>
      <w:r>
        <w:rPr>
          <w:rFonts w:hint="eastAsia" w:ascii="宋体" w:hAnsi="宋体" w:eastAsia="宋体" w:cs="宋体"/>
          <w:b w:val="0"/>
          <w:bCs w:val="0"/>
          <w:kern w:val="2"/>
          <w:sz w:val="28"/>
          <w:szCs w:val="28"/>
          <w:highlight w:val="none"/>
          <w:lang w:val="en-US" w:eastAsia="zh-CN" w:bidi="ar-SA"/>
        </w:rPr>
        <w:t>年</w:t>
      </w:r>
      <w:r>
        <w:rPr>
          <w:rFonts w:hint="eastAsia" w:ascii="宋体" w:hAnsi="宋体" w:cs="宋体"/>
          <w:b w:val="0"/>
          <w:bCs w:val="0"/>
          <w:kern w:val="2"/>
          <w:sz w:val="28"/>
          <w:szCs w:val="28"/>
          <w:highlight w:val="none"/>
          <w:lang w:val="en-US" w:eastAsia="zh-CN" w:bidi="ar-SA"/>
        </w:rPr>
        <w:t>9</w:t>
      </w:r>
      <w:r>
        <w:rPr>
          <w:rFonts w:hint="eastAsia" w:ascii="宋体" w:hAnsi="宋体" w:eastAsia="宋体" w:cs="宋体"/>
          <w:b w:val="0"/>
          <w:bCs w:val="0"/>
          <w:kern w:val="2"/>
          <w:sz w:val="28"/>
          <w:szCs w:val="28"/>
          <w:highlight w:val="none"/>
          <w:lang w:val="en-US" w:eastAsia="zh-CN" w:bidi="ar-SA"/>
        </w:rPr>
        <w:t>月</w:t>
      </w:r>
      <w:r>
        <w:rPr>
          <w:rFonts w:hint="eastAsia" w:ascii="宋体" w:hAnsi="宋体" w:cs="宋体"/>
          <w:b w:val="0"/>
          <w:bCs w:val="0"/>
          <w:kern w:val="2"/>
          <w:sz w:val="28"/>
          <w:szCs w:val="28"/>
          <w:highlight w:val="none"/>
          <w:lang w:val="en-US" w:eastAsia="zh-CN" w:bidi="ar-SA"/>
        </w:rPr>
        <w:t>5</w:t>
      </w:r>
      <w:r>
        <w:rPr>
          <w:rFonts w:hint="eastAsia" w:ascii="宋体" w:hAnsi="宋体" w:eastAsia="宋体" w:cs="宋体"/>
          <w:b w:val="0"/>
          <w:bCs w:val="0"/>
          <w:kern w:val="2"/>
          <w:sz w:val="28"/>
          <w:szCs w:val="28"/>
          <w:highlight w:val="none"/>
          <w:lang w:val="en-US" w:eastAsia="zh-CN" w:bidi="ar-SA"/>
        </w:rPr>
        <w:t>日</w:t>
      </w:r>
    </w:p>
    <w:p>
      <w:pPr>
        <w:rPr>
          <w:rFonts w:hint="eastAsia" w:asciiTheme="minorEastAsia" w:hAnsiTheme="minorEastAsia" w:eastAsiaTheme="minorEastAsia" w:cstheme="minorEastAsia"/>
          <w:b/>
          <w:color w:val="000000"/>
          <w:kern w:val="0"/>
          <w:sz w:val="28"/>
          <w:szCs w:val="28"/>
        </w:rPr>
      </w:pPr>
    </w:p>
    <w:sectPr>
      <w:footerReference r:id="rId8" w:type="first"/>
      <w:headerReference r:id="rId6" w:type="default"/>
      <w:footerReference r:id="rId7" w:type="default"/>
      <w:pgSz w:w="11906" w:h="16838"/>
      <w:pgMar w:top="1440" w:right="1644" w:bottom="1247" w:left="164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b/>
        <w:bCs/>
      </w:rPr>
      <w:t xml:space="preserve">  </w:t>
    </w:r>
    <w:r>
      <w:rPr>
        <w:rFonts w:hint="eastAsia" w:eastAsia="仿宋"/>
        <w:b/>
        <w:bCs/>
      </w:rPr>
      <w:t xml:space="preserve">湖 南 </w:t>
    </w:r>
    <w:r>
      <w:rPr>
        <w:rFonts w:hint="eastAsia" w:eastAsia="仿宋"/>
        <w:b/>
        <w:bCs/>
        <w:lang w:val="en-US" w:eastAsia="zh-CN"/>
      </w:rPr>
      <w:t>公 众 会 计 师 事 务 所 有 限 公 司</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0"/>
                      <w:jc w:val="right"/>
                    </w:pPr>
                    <w:r>
                      <w:rPr>
                        <w:rFonts w:hint="eastAsia"/>
                        <w:b/>
                        <w:bCs/>
                      </w:rPr>
                      <w:t xml:space="preserve">                </w:t>
                    </w:r>
                    <w:r>
                      <w:rPr>
                        <w:rFonts w:hint="eastAsia" w:eastAsia="仿宋"/>
                        <w:b/>
                        <w:bCs/>
                      </w:rPr>
                      <w:t>湖 南 恒 兴 联 合 会 计 师 事 务 所</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jc w:val="right"/>
      <w:rPr>
        <w:rFonts w:hint="eastAsia" w:ascii="楷体" w:hAnsi="楷体" w:eastAsia="楷体" w:cs="楷体"/>
        <w:b/>
      </w:rPr>
    </w:pPr>
    <w:r>
      <w:rPr>
        <w:rFonts w:hint="eastAsia" w:ascii="楷体" w:hAnsi="楷体" w:eastAsia="楷体" w:cs="楷体"/>
        <w:b/>
      </w:rPr>
      <w:t xml:space="preserve">                                       岳阳市</w:t>
    </w:r>
    <w:r>
      <w:rPr>
        <w:rFonts w:hint="eastAsia" w:ascii="楷体" w:hAnsi="楷体" w:eastAsia="楷体" w:cs="楷体"/>
        <w:b/>
        <w:lang w:eastAsia="zh-CN"/>
      </w:rPr>
      <w:t>湘阴县扶贫办前期工作经费专项支出项目</w:t>
    </w:r>
    <w:r>
      <w:rPr>
        <w:rFonts w:hint="eastAsia" w:ascii="楷体" w:hAnsi="楷体" w:eastAsia="楷体" w:cs="楷体"/>
        <w:b/>
      </w:rPr>
      <w:t>绩效评价报告书</w:t>
    </w:r>
  </w:p>
  <w:p>
    <w:pPr>
      <w:pStyle w:val="21"/>
      <w:pBdr>
        <w:bottom w:val="none" w:color="auto" w:sz="0" w:space="0"/>
      </w:pBdr>
    </w:pPr>
  </w:p>
  <w:p>
    <w:pPr>
      <w:pStyle w:val="21"/>
      <w:pBdr>
        <w:bottom w:val="none" w:color="auto" w:sz="0" w:space="0"/>
      </w:pBd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right="360"/>
      <w:rPr>
        <w:rFonts w:hint="eastAsia" w:ascii="楷体" w:hAnsi="楷体" w:eastAsia="楷体" w:cs="楷体"/>
        <w:b/>
      </w:rPr>
    </w:pPr>
    <w:r>
      <w:rPr>
        <w:rFonts w:hint="eastAsia" w:ascii="楷体" w:hAnsi="楷体" w:eastAsia="楷体" w:cs="楷体"/>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0"/>
      </w:pBdr>
      <w:jc w:val="right"/>
      <w:rPr>
        <w:rFonts w:hint="eastAsia" w:ascii="楷体" w:hAnsi="楷体" w:eastAsia="楷体" w:cs="楷体"/>
        <w:b/>
      </w:rPr>
    </w:pPr>
    <w:r>
      <w:rPr>
        <w:rFonts w:hint="eastAsia" w:ascii="楷体" w:hAnsi="楷体" w:eastAsia="楷体" w:cs="楷体"/>
        <w:b/>
      </w:rPr>
      <w:t xml:space="preserve">                          </w:t>
    </w:r>
    <w:r>
      <w:rPr>
        <w:rFonts w:hint="eastAsia" w:ascii="楷体" w:hAnsi="楷体" w:eastAsia="楷体" w:cs="楷体"/>
        <w:b/>
        <w:lang w:eastAsia="zh-CN"/>
      </w:rPr>
      <w:t xml:space="preserve">  </w:t>
    </w:r>
    <w:r>
      <w:rPr>
        <w:rFonts w:hint="eastAsia" w:ascii="楷体" w:hAnsi="楷体" w:eastAsia="楷体" w:cs="楷体"/>
        <w:b/>
        <w:lang w:val="en-US" w:eastAsia="zh-CN"/>
      </w:rPr>
      <w:t>云溪区就业服务中心</w:t>
    </w:r>
    <w:r>
      <w:rPr>
        <w:rFonts w:hint="eastAsia" w:ascii="楷体" w:hAnsi="楷体" w:eastAsia="楷体" w:cs="楷体"/>
        <w:b/>
        <w:lang w:eastAsia="zh-CN"/>
      </w:rPr>
      <w:t>2022年度</w:t>
    </w:r>
    <w:r>
      <w:rPr>
        <w:rFonts w:hint="eastAsia" w:ascii="楷体" w:hAnsi="楷体" w:eastAsia="楷体" w:cs="楷体"/>
        <w:b/>
        <w:lang w:val="en-US" w:eastAsia="zh-CN"/>
      </w:rPr>
      <w:t>就业补助资金</w:t>
    </w:r>
    <w:r>
      <w:rPr>
        <w:rFonts w:hint="eastAsia" w:ascii="楷体" w:hAnsi="楷体" w:eastAsia="楷体" w:cs="楷体"/>
        <w:b/>
      </w:rPr>
      <w:t>绩效评价报告书</w:t>
    </w:r>
  </w:p>
  <w:p>
    <w:pPr>
      <w:pStyle w:val="21"/>
      <w:pBdr>
        <w:bottom w:val="none" w:color="auto" w:sz="0" w:space="0"/>
      </w:pBdr>
    </w:pPr>
  </w:p>
  <w:p>
    <w:pPr>
      <w:pStyle w:val="21"/>
      <w:pBdr>
        <w:bottom w:val="none" w:color="auto" w:sz="0" w:space="0"/>
      </w:pBd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BD60B"/>
    <w:multiLevelType w:val="singleLevel"/>
    <w:tmpl w:val="AACBD60B"/>
    <w:lvl w:ilvl="0" w:tentative="0">
      <w:start w:val="1"/>
      <w:numFmt w:val="decimal"/>
      <w:suff w:val="nothing"/>
      <w:lvlText w:val="%1、"/>
      <w:lvlJc w:val="left"/>
    </w:lvl>
  </w:abstractNum>
  <w:abstractNum w:abstractNumId="1">
    <w:nsid w:val="1957D202"/>
    <w:multiLevelType w:val="singleLevel"/>
    <w:tmpl w:val="1957D202"/>
    <w:lvl w:ilvl="0" w:tentative="0">
      <w:start w:val="1"/>
      <w:numFmt w:val="decimal"/>
      <w:suff w:val="nothing"/>
      <w:lvlText w:val="（%1）"/>
      <w:lvlJc w:val="left"/>
    </w:lvl>
  </w:abstractNum>
  <w:abstractNum w:abstractNumId="2">
    <w:nsid w:val="1F44254B"/>
    <w:multiLevelType w:val="multilevel"/>
    <w:tmpl w:val="1F44254B"/>
    <w:lvl w:ilvl="0" w:tentative="0">
      <w:start w:val="2"/>
      <w:numFmt w:val="decimal"/>
      <w:pStyle w:val="6"/>
      <w:lvlText w:val="%1"/>
      <w:lvlJc w:val="left"/>
      <w:pPr>
        <w:tabs>
          <w:tab w:val="left" w:pos="1282"/>
        </w:tabs>
        <w:ind w:left="1282" w:hanging="432"/>
      </w:pPr>
      <w:rPr>
        <w:rFonts w:hint="eastAsia"/>
      </w:rPr>
    </w:lvl>
    <w:lvl w:ilvl="1" w:tentative="0">
      <w:start w:val="1"/>
      <w:numFmt w:val="decimal"/>
      <w:pStyle w:val="7"/>
      <w:lvlText w:val="%2"/>
      <w:lvlJc w:val="left"/>
      <w:pPr>
        <w:tabs>
          <w:tab w:val="left" w:pos="1426"/>
        </w:tabs>
        <w:ind w:left="1426" w:hanging="576"/>
      </w:pPr>
      <w:rPr>
        <w:rFonts w:ascii="Times New Roman" w:hAnsi="Times New Roman" w:eastAsia="Times New Roman" w:cs="Times New Roman"/>
      </w:rPr>
    </w:lvl>
    <w:lvl w:ilvl="2" w:tentative="0">
      <w:start w:val="1"/>
      <w:numFmt w:val="decimal"/>
      <w:pStyle w:val="8"/>
      <w:lvlText w:val="%1.%2.%3"/>
      <w:lvlJc w:val="left"/>
      <w:pPr>
        <w:tabs>
          <w:tab w:val="left" w:pos="1570"/>
        </w:tabs>
        <w:ind w:left="1570" w:hanging="720"/>
      </w:pPr>
      <w:rPr>
        <w:rFonts w:hint="eastAsia"/>
      </w:rPr>
    </w:lvl>
    <w:lvl w:ilvl="3" w:tentative="0">
      <w:start w:val="1"/>
      <w:numFmt w:val="decimal"/>
      <w:pStyle w:val="9"/>
      <w:lvlText w:val="%1.%2.%3.%4"/>
      <w:lvlJc w:val="left"/>
      <w:pPr>
        <w:tabs>
          <w:tab w:val="left" w:pos="1714"/>
        </w:tabs>
        <w:ind w:left="1714" w:hanging="864"/>
      </w:pPr>
      <w:rPr>
        <w:rFonts w:hint="eastAsia"/>
      </w:rPr>
    </w:lvl>
    <w:lvl w:ilvl="4" w:tentative="0">
      <w:start w:val="1"/>
      <w:numFmt w:val="decimal"/>
      <w:pStyle w:val="10"/>
      <w:lvlText w:val="%1.%2.%3.%4.%5"/>
      <w:lvlJc w:val="left"/>
      <w:pPr>
        <w:tabs>
          <w:tab w:val="left" w:pos="1858"/>
        </w:tabs>
        <w:ind w:left="1858" w:hanging="1008"/>
      </w:pPr>
      <w:rPr>
        <w:rFonts w:hint="eastAsia"/>
      </w:rPr>
    </w:lvl>
    <w:lvl w:ilvl="5" w:tentative="0">
      <w:start w:val="1"/>
      <w:numFmt w:val="decimal"/>
      <w:pStyle w:val="11"/>
      <w:isLgl/>
      <w:lvlText w:val="%1.%2.%3.%4.%5.%6"/>
      <w:lvlJc w:val="left"/>
      <w:pPr>
        <w:tabs>
          <w:tab w:val="left" w:pos="2002"/>
        </w:tabs>
        <w:ind w:left="2002" w:hanging="1152"/>
      </w:pPr>
      <w:rPr>
        <w:rFonts w:hint="eastAsia"/>
      </w:rPr>
    </w:lvl>
    <w:lvl w:ilvl="6" w:tentative="0">
      <w:start w:val="1"/>
      <w:numFmt w:val="decimal"/>
      <w:pStyle w:val="12"/>
      <w:lvlText w:val="%1.%2.%3.%4.%5.%6.%7"/>
      <w:lvlJc w:val="left"/>
      <w:pPr>
        <w:tabs>
          <w:tab w:val="left" w:pos="2146"/>
        </w:tabs>
        <w:ind w:left="2146" w:hanging="1296"/>
      </w:pPr>
      <w:rPr>
        <w:rFonts w:hint="eastAsia"/>
      </w:rPr>
    </w:lvl>
    <w:lvl w:ilvl="7" w:tentative="0">
      <w:start w:val="1"/>
      <w:numFmt w:val="decimal"/>
      <w:pStyle w:val="13"/>
      <w:lvlText w:val="%1.%2.%3.%4.%5.%6.%7.%8"/>
      <w:lvlJc w:val="left"/>
      <w:pPr>
        <w:tabs>
          <w:tab w:val="left" w:pos="2290"/>
        </w:tabs>
        <w:ind w:left="2290" w:hanging="1440"/>
      </w:pPr>
      <w:rPr>
        <w:rFonts w:hint="eastAsia"/>
      </w:rPr>
    </w:lvl>
    <w:lvl w:ilvl="8" w:tentative="0">
      <w:start w:val="1"/>
      <w:numFmt w:val="decimal"/>
      <w:pStyle w:val="14"/>
      <w:lvlText w:val="%1.%2.%3.%4.%5.%6.%7.%8.%9"/>
      <w:lvlJc w:val="left"/>
      <w:pPr>
        <w:tabs>
          <w:tab w:val="left" w:pos="2434"/>
        </w:tabs>
        <w:ind w:left="2434" w:hanging="1584"/>
      </w:pPr>
      <w:rPr>
        <w:rFonts w:hint="eastAsia"/>
      </w:rPr>
    </w:lvl>
  </w:abstractNum>
  <w:abstractNum w:abstractNumId="3">
    <w:nsid w:val="5283FED4"/>
    <w:multiLevelType w:val="singleLevel"/>
    <w:tmpl w:val="5283FED4"/>
    <w:lvl w:ilvl="0" w:tentative="0">
      <w:start w:val="4"/>
      <w:numFmt w:val="chineseCounting"/>
      <w:suff w:val="nothing"/>
      <w:lvlText w:val="%1、"/>
      <w:lvlJc w:val="left"/>
      <w:rPr>
        <w:rFonts w:hint="eastAsia"/>
      </w:rPr>
    </w:lvl>
  </w:abstractNum>
  <w:abstractNum w:abstractNumId="4">
    <w:nsid w:val="7E050B2D"/>
    <w:multiLevelType w:val="singleLevel"/>
    <w:tmpl w:val="7E050B2D"/>
    <w:lvl w:ilvl="0" w:tentative="0">
      <w:start w:val="2"/>
      <w:numFmt w:val="decimal"/>
      <w:suff w:val="nothing"/>
      <w:lvlText w:val="%1、"/>
      <w:lvlJc w:val="left"/>
      <w:rPr>
        <w:rFonts w:hint="default"/>
        <w:b/>
        <w:bCs/>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MmU3NmE5YmMzZDVhY2ViNzE3Y2E1MjIxYjI5OTAifQ=="/>
  </w:docVars>
  <w:rsids>
    <w:rsidRoot w:val="007E7EF4"/>
    <w:rsid w:val="00001BAD"/>
    <w:rsid w:val="00002DD4"/>
    <w:rsid w:val="000061D5"/>
    <w:rsid w:val="00014334"/>
    <w:rsid w:val="000147E3"/>
    <w:rsid w:val="000151F4"/>
    <w:rsid w:val="00015653"/>
    <w:rsid w:val="0001616A"/>
    <w:rsid w:val="00016D4D"/>
    <w:rsid w:val="00017C53"/>
    <w:rsid w:val="00020C6B"/>
    <w:rsid w:val="00027D64"/>
    <w:rsid w:val="00030D88"/>
    <w:rsid w:val="00031596"/>
    <w:rsid w:val="0003454F"/>
    <w:rsid w:val="00036DED"/>
    <w:rsid w:val="00040F19"/>
    <w:rsid w:val="00042217"/>
    <w:rsid w:val="00042297"/>
    <w:rsid w:val="00043444"/>
    <w:rsid w:val="0004445F"/>
    <w:rsid w:val="000451C3"/>
    <w:rsid w:val="00052F5B"/>
    <w:rsid w:val="0005325E"/>
    <w:rsid w:val="00054F53"/>
    <w:rsid w:val="000601D9"/>
    <w:rsid w:val="0006024F"/>
    <w:rsid w:val="00060A3F"/>
    <w:rsid w:val="00063E36"/>
    <w:rsid w:val="00064CFE"/>
    <w:rsid w:val="00065042"/>
    <w:rsid w:val="000676E1"/>
    <w:rsid w:val="000719AB"/>
    <w:rsid w:val="00072A52"/>
    <w:rsid w:val="00072DBD"/>
    <w:rsid w:val="000736A5"/>
    <w:rsid w:val="00074978"/>
    <w:rsid w:val="000754E9"/>
    <w:rsid w:val="000778D0"/>
    <w:rsid w:val="00077D3E"/>
    <w:rsid w:val="00083D09"/>
    <w:rsid w:val="00083F35"/>
    <w:rsid w:val="00084EBA"/>
    <w:rsid w:val="00085369"/>
    <w:rsid w:val="00087680"/>
    <w:rsid w:val="00090B0B"/>
    <w:rsid w:val="00091E62"/>
    <w:rsid w:val="00095994"/>
    <w:rsid w:val="00095B6D"/>
    <w:rsid w:val="000A0066"/>
    <w:rsid w:val="000A0B91"/>
    <w:rsid w:val="000A12C9"/>
    <w:rsid w:val="000A20CF"/>
    <w:rsid w:val="000A2820"/>
    <w:rsid w:val="000A49CB"/>
    <w:rsid w:val="000A5245"/>
    <w:rsid w:val="000A7ED2"/>
    <w:rsid w:val="000B244E"/>
    <w:rsid w:val="000B25B0"/>
    <w:rsid w:val="000B4F32"/>
    <w:rsid w:val="000B66CF"/>
    <w:rsid w:val="000C0761"/>
    <w:rsid w:val="000C5D38"/>
    <w:rsid w:val="000C6808"/>
    <w:rsid w:val="000C74F8"/>
    <w:rsid w:val="000D408B"/>
    <w:rsid w:val="000D4AC5"/>
    <w:rsid w:val="000D4B6D"/>
    <w:rsid w:val="000D5676"/>
    <w:rsid w:val="000D6B91"/>
    <w:rsid w:val="000E0157"/>
    <w:rsid w:val="000E1BB8"/>
    <w:rsid w:val="000E2663"/>
    <w:rsid w:val="000E26AD"/>
    <w:rsid w:val="000E3503"/>
    <w:rsid w:val="000E36B6"/>
    <w:rsid w:val="000E4D57"/>
    <w:rsid w:val="000E65BF"/>
    <w:rsid w:val="000F4F7F"/>
    <w:rsid w:val="000F768C"/>
    <w:rsid w:val="000F7FCD"/>
    <w:rsid w:val="00101D97"/>
    <w:rsid w:val="00102774"/>
    <w:rsid w:val="001116C7"/>
    <w:rsid w:val="00111AA7"/>
    <w:rsid w:val="00113671"/>
    <w:rsid w:val="00114E83"/>
    <w:rsid w:val="00117206"/>
    <w:rsid w:val="001179BA"/>
    <w:rsid w:val="001238C5"/>
    <w:rsid w:val="00123BAA"/>
    <w:rsid w:val="001247BA"/>
    <w:rsid w:val="001249FB"/>
    <w:rsid w:val="00124CF2"/>
    <w:rsid w:val="00124FA6"/>
    <w:rsid w:val="00126A28"/>
    <w:rsid w:val="00130473"/>
    <w:rsid w:val="00134047"/>
    <w:rsid w:val="0013468E"/>
    <w:rsid w:val="001347E6"/>
    <w:rsid w:val="001351A7"/>
    <w:rsid w:val="00135587"/>
    <w:rsid w:val="001359EC"/>
    <w:rsid w:val="00135D15"/>
    <w:rsid w:val="0013658E"/>
    <w:rsid w:val="001402A6"/>
    <w:rsid w:val="00143293"/>
    <w:rsid w:val="00144354"/>
    <w:rsid w:val="00150D7C"/>
    <w:rsid w:val="00151A1C"/>
    <w:rsid w:val="00161589"/>
    <w:rsid w:val="00161A69"/>
    <w:rsid w:val="001650C6"/>
    <w:rsid w:val="00166DC6"/>
    <w:rsid w:val="00174AB0"/>
    <w:rsid w:val="001830FA"/>
    <w:rsid w:val="00185A13"/>
    <w:rsid w:val="00185E10"/>
    <w:rsid w:val="00186338"/>
    <w:rsid w:val="00190E19"/>
    <w:rsid w:val="00194128"/>
    <w:rsid w:val="00195428"/>
    <w:rsid w:val="00195C89"/>
    <w:rsid w:val="00195FA3"/>
    <w:rsid w:val="00196C53"/>
    <w:rsid w:val="00197865"/>
    <w:rsid w:val="001A31B9"/>
    <w:rsid w:val="001A4269"/>
    <w:rsid w:val="001A44F4"/>
    <w:rsid w:val="001A45C6"/>
    <w:rsid w:val="001A4E86"/>
    <w:rsid w:val="001A6CD0"/>
    <w:rsid w:val="001B11C3"/>
    <w:rsid w:val="001B121A"/>
    <w:rsid w:val="001B16D8"/>
    <w:rsid w:val="001B4858"/>
    <w:rsid w:val="001C0537"/>
    <w:rsid w:val="001C255F"/>
    <w:rsid w:val="001C3D2E"/>
    <w:rsid w:val="001C53CA"/>
    <w:rsid w:val="001C7E4E"/>
    <w:rsid w:val="001D004C"/>
    <w:rsid w:val="001D2B9F"/>
    <w:rsid w:val="001D5DF3"/>
    <w:rsid w:val="001D7558"/>
    <w:rsid w:val="001E1C3B"/>
    <w:rsid w:val="001E2C7B"/>
    <w:rsid w:val="001E3282"/>
    <w:rsid w:val="001E4920"/>
    <w:rsid w:val="001F060C"/>
    <w:rsid w:val="001F0BD4"/>
    <w:rsid w:val="001F2519"/>
    <w:rsid w:val="001F43C4"/>
    <w:rsid w:val="00205E83"/>
    <w:rsid w:val="00212494"/>
    <w:rsid w:val="0021466E"/>
    <w:rsid w:val="00214CA0"/>
    <w:rsid w:val="0021508F"/>
    <w:rsid w:val="00216545"/>
    <w:rsid w:val="002241B3"/>
    <w:rsid w:val="0022679A"/>
    <w:rsid w:val="00226B1C"/>
    <w:rsid w:val="0023056B"/>
    <w:rsid w:val="00230688"/>
    <w:rsid w:val="002312B9"/>
    <w:rsid w:val="0023131C"/>
    <w:rsid w:val="0023705F"/>
    <w:rsid w:val="00240A68"/>
    <w:rsid w:val="002420EF"/>
    <w:rsid w:val="00242E01"/>
    <w:rsid w:val="00251BF2"/>
    <w:rsid w:val="00252FAB"/>
    <w:rsid w:val="00254EBC"/>
    <w:rsid w:val="00255562"/>
    <w:rsid w:val="00260FDC"/>
    <w:rsid w:val="002613CA"/>
    <w:rsid w:val="002614FE"/>
    <w:rsid w:val="00262111"/>
    <w:rsid w:val="0026292E"/>
    <w:rsid w:val="00264E02"/>
    <w:rsid w:val="00266F31"/>
    <w:rsid w:val="00267091"/>
    <w:rsid w:val="002708BA"/>
    <w:rsid w:val="00270B2A"/>
    <w:rsid w:val="00272D94"/>
    <w:rsid w:val="0028464C"/>
    <w:rsid w:val="00284A29"/>
    <w:rsid w:val="00286A5E"/>
    <w:rsid w:val="002905B6"/>
    <w:rsid w:val="00290B1B"/>
    <w:rsid w:val="00290E2C"/>
    <w:rsid w:val="0029121B"/>
    <w:rsid w:val="00291F2F"/>
    <w:rsid w:val="00295562"/>
    <w:rsid w:val="00296C9D"/>
    <w:rsid w:val="00297773"/>
    <w:rsid w:val="002A03FD"/>
    <w:rsid w:val="002A1E8B"/>
    <w:rsid w:val="002A312E"/>
    <w:rsid w:val="002B1906"/>
    <w:rsid w:val="002B2778"/>
    <w:rsid w:val="002B462E"/>
    <w:rsid w:val="002B5197"/>
    <w:rsid w:val="002B5211"/>
    <w:rsid w:val="002B5EC8"/>
    <w:rsid w:val="002B6001"/>
    <w:rsid w:val="002B61E2"/>
    <w:rsid w:val="002B7E7E"/>
    <w:rsid w:val="002C030D"/>
    <w:rsid w:val="002C2728"/>
    <w:rsid w:val="002C3CE5"/>
    <w:rsid w:val="002C70A5"/>
    <w:rsid w:val="002C77AC"/>
    <w:rsid w:val="002D0239"/>
    <w:rsid w:val="002D1F1B"/>
    <w:rsid w:val="002D2AAD"/>
    <w:rsid w:val="002D3867"/>
    <w:rsid w:val="002D4271"/>
    <w:rsid w:val="002D4881"/>
    <w:rsid w:val="002D4F36"/>
    <w:rsid w:val="002D7D48"/>
    <w:rsid w:val="002E017E"/>
    <w:rsid w:val="002E44E3"/>
    <w:rsid w:val="002E4D2D"/>
    <w:rsid w:val="002E5BA1"/>
    <w:rsid w:val="002E6134"/>
    <w:rsid w:val="002F009F"/>
    <w:rsid w:val="002F362D"/>
    <w:rsid w:val="002F3A1F"/>
    <w:rsid w:val="002F3DDB"/>
    <w:rsid w:val="002F4045"/>
    <w:rsid w:val="002F6539"/>
    <w:rsid w:val="002F75AF"/>
    <w:rsid w:val="00300F25"/>
    <w:rsid w:val="003018D7"/>
    <w:rsid w:val="0030374E"/>
    <w:rsid w:val="00303AE3"/>
    <w:rsid w:val="00305058"/>
    <w:rsid w:val="00306D0B"/>
    <w:rsid w:val="00310019"/>
    <w:rsid w:val="00310245"/>
    <w:rsid w:val="003102A8"/>
    <w:rsid w:val="00312E58"/>
    <w:rsid w:val="00313AC0"/>
    <w:rsid w:val="00314EF2"/>
    <w:rsid w:val="00323C7A"/>
    <w:rsid w:val="0032454A"/>
    <w:rsid w:val="00334AD5"/>
    <w:rsid w:val="0033567F"/>
    <w:rsid w:val="00335853"/>
    <w:rsid w:val="003412B1"/>
    <w:rsid w:val="0034156D"/>
    <w:rsid w:val="00342C9D"/>
    <w:rsid w:val="00346453"/>
    <w:rsid w:val="0034781A"/>
    <w:rsid w:val="00350973"/>
    <w:rsid w:val="00351268"/>
    <w:rsid w:val="0035267C"/>
    <w:rsid w:val="003562DD"/>
    <w:rsid w:val="00356623"/>
    <w:rsid w:val="00361B3B"/>
    <w:rsid w:val="00364651"/>
    <w:rsid w:val="00367DE7"/>
    <w:rsid w:val="0037056E"/>
    <w:rsid w:val="00370AD1"/>
    <w:rsid w:val="003718E3"/>
    <w:rsid w:val="0037337E"/>
    <w:rsid w:val="0037345A"/>
    <w:rsid w:val="00374E22"/>
    <w:rsid w:val="00375F24"/>
    <w:rsid w:val="003764B7"/>
    <w:rsid w:val="00376B82"/>
    <w:rsid w:val="00377A93"/>
    <w:rsid w:val="00381E81"/>
    <w:rsid w:val="003832D8"/>
    <w:rsid w:val="00384BAC"/>
    <w:rsid w:val="00392417"/>
    <w:rsid w:val="00394F77"/>
    <w:rsid w:val="00397B02"/>
    <w:rsid w:val="00397B18"/>
    <w:rsid w:val="003A021A"/>
    <w:rsid w:val="003A041B"/>
    <w:rsid w:val="003A2E4D"/>
    <w:rsid w:val="003A37F4"/>
    <w:rsid w:val="003A472B"/>
    <w:rsid w:val="003A774B"/>
    <w:rsid w:val="003C0AF9"/>
    <w:rsid w:val="003C1408"/>
    <w:rsid w:val="003C3ADC"/>
    <w:rsid w:val="003C6C53"/>
    <w:rsid w:val="003C7220"/>
    <w:rsid w:val="003D03E6"/>
    <w:rsid w:val="003D1AA0"/>
    <w:rsid w:val="003D1DE6"/>
    <w:rsid w:val="003D33DE"/>
    <w:rsid w:val="003D393F"/>
    <w:rsid w:val="003D3981"/>
    <w:rsid w:val="003D61B7"/>
    <w:rsid w:val="003E2CB1"/>
    <w:rsid w:val="003E4AD2"/>
    <w:rsid w:val="003E5356"/>
    <w:rsid w:val="003E5761"/>
    <w:rsid w:val="003E6053"/>
    <w:rsid w:val="003F01CA"/>
    <w:rsid w:val="003F35BE"/>
    <w:rsid w:val="003F44F3"/>
    <w:rsid w:val="003F6AE8"/>
    <w:rsid w:val="0040060E"/>
    <w:rsid w:val="004008FA"/>
    <w:rsid w:val="00401491"/>
    <w:rsid w:val="00403DAF"/>
    <w:rsid w:val="00407AFC"/>
    <w:rsid w:val="00411875"/>
    <w:rsid w:val="00411CBA"/>
    <w:rsid w:val="0041266E"/>
    <w:rsid w:val="00412ECC"/>
    <w:rsid w:val="00413CCB"/>
    <w:rsid w:val="00414491"/>
    <w:rsid w:val="00415E5C"/>
    <w:rsid w:val="004228EF"/>
    <w:rsid w:val="0042334E"/>
    <w:rsid w:val="0042528E"/>
    <w:rsid w:val="004266B0"/>
    <w:rsid w:val="00427C5F"/>
    <w:rsid w:val="0043028A"/>
    <w:rsid w:val="00430CCA"/>
    <w:rsid w:val="004310A0"/>
    <w:rsid w:val="004310E3"/>
    <w:rsid w:val="00431835"/>
    <w:rsid w:val="004321F7"/>
    <w:rsid w:val="004335F1"/>
    <w:rsid w:val="004349B1"/>
    <w:rsid w:val="00436962"/>
    <w:rsid w:val="00437418"/>
    <w:rsid w:val="00437431"/>
    <w:rsid w:val="00440384"/>
    <w:rsid w:val="00440DE0"/>
    <w:rsid w:val="0044195D"/>
    <w:rsid w:val="00444E83"/>
    <w:rsid w:val="00447AB9"/>
    <w:rsid w:val="00450108"/>
    <w:rsid w:val="0045097D"/>
    <w:rsid w:val="00451A50"/>
    <w:rsid w:val="00452662"/>
    <w:rsid w:val="004559C2"/>
    <w:rsid w:val="00456249"/>
    <w:rsid w:val="0045674E"/>
    <w:rsid w:val="00456F5D"/>
    <w:rsid w:val="00460D68"/>
    <w:rsid w:val="00460E31"/>
    <w:rsid w:val="00466526"/>
    <w:rsid w:val="004731D7"/>
    <w:rsid w:val="004763AF"/>
    <w:rsid w:val="004765AA"/>
    <w:rsid w:val="004768D6"/>
    <w:rsid w:val="0047690D"/>
    <w:rsid w:val="0048138E"/>
    <w:rsid w:val="00483999"/>
    <w:rsid w:val="0048731E"/>
    <w:rsid w:val="00491186"/>
    <w:rsid w:val="004920F4"/>
    <w:rsid w:val="00492B45"/>
    <w:rsid w:val="004A047D"/>
    <w:rsid w:val="004A19E8"/>
    <w:rsid w:val="004A1CA0"/>
    <w:rsid w:val="004A30CA"/>
    <w:rsid w:val="004A3AB5"/>
    <w:rsid w:val="004A3B58"/>
    <w:rsid w:val="004A42CE"/>
    <w:rsid w:val="004B29B2"/>
    <w:rsid w:val="004B3EA3"/>
    <w:rsid w:val="004B55F0"/>
    <w:rsid w:val="004B5EC8"/>
    <w:rsid w:val="004B603D"/>
    <w:rsid w:val="004B6C56"/>
    <w:rsid w:val="004C28DA"/>
    <w:rsid w:val="004C2B53"/>
    <w:rsid w:val="004C5E83"/>
    <w:rsid w:val="004D131F"/>
    <w:rsid w:val="004D2464"/>
    <w:rsid w:val="004E224E"/>
    <w:rsid w:val="004E2BA4"/>
    <w:rsid w:val="004E2C38"/>
    <w:rsid w:val="004E3D79"/>
    <w:rsid w:val="004E484D"/>
    <w:rsid w:val="004F1B2A"/>
    <w:rsid w:val="004F20A1"/>
    <w:rsid w:val="004F28DA"/>
    <w:rsid w:val="004F32C2"/>
    <w:rsid w:val="00501C64"/>
    <w:rsid w:val="00503EFA"/>
    <w:rsid w:val="00505DD0"/>
    <w:rsid w:val="0050613A"/>
    <w:rsid w:val="005109E6"/>
    <w:rsid w:val="00511D0B"/>
    <w:rsid w:val="005130E0"/>
    <w:rsid w:val="00514636"/>
    <w:rsid w:val="005163E4"/>
    <w:rsid w:val="00520B2E"/>
    <w:rsid w:val="00521853"/>
    <w:rsid w:val="00522B73"/>
    <w:rsid w:val="0052472D"/>
    <w:rsid w:val="0052616D"/>
    <w:rsid w:val="0053029D"/>
    <w:rsid w:val="00535446"/>
    <w:rsid w:val="00536D9B"/>
    <w:rsid w:val="00540291"/>
    <w:rsid w:val="00540911"/>
    <w:rsid w:val="00543060"/>
    <w:rsid w:val="00543851"/>
    <w:rsid w:val="00543890"/>
    <w:rsid w:val="005464E6"/>
    <w:rsid w:val="00546639"/>
    <w:rsid w:val="005541BA"/>
    <w:rsid w:val="00554A23"/>
    <w:rsid w:val="00557C71"/>
    <w:rsid w:val="0056561F"/>
    <w:rsid w:val="00567804"/>
    <w:rsid w:val="00574F54"/>
    <w:rsid w:val="00577F98"/>
    <w:rsid w:val="005816D9"/>
    <w:rsid w:val="005917CA"/>
    <w:rsid w:val="00592A06"/>
    <w:rsid w:val="00593540"/>
    <w:rsid w:val="0059541B"/>
    <w:rsid w:val="00595C76"/>
    <w:rsid w:val="005962BF"/>
    <w:rsid w:val="005978A3"/>
    <w:rsid w:val="005A43C8"/>
    <w:rsid w:val="005A5E89"/>
    <w:rsid w:val="005A664B"/>
    <w:rsid w:val="005B11EF"/>
    <w:rsid w:val="005B45B9"/>
    <w:rsid w:val="005B4FC1"/>
    <w:rsid w:val="005B5639"/>
    <w:rsid w:val="005B56FD"/>
    <w:rsid w:val="005B594C"/>
    <w:rsid w:val="005B78F5"/>
    <w:rsid w:val="005C1D29"/>
    <w:rsid w:val="005C1DE1"/>
    <w:rsid w:val="005C242E"/>
    <w:rsid w:val="005C5631"/>
    <w:rsid w:val="005C6146"/>
    <w:rsid w:val="005C6390"/>
    <w:rsid w:val="005C7AE0"/>
    <w:rsid w:val="005D0375"/>
    <w:rsid w:val="005D08F3"/>
    <w:rsid w:val="005D4F4C"/>
    <w:rsid w:val="005D6222"/>
    <w:rsid w:val="005D674E"/>
    <w:rsid w:val="005D6D99"/>
    <w:rsid w:val="005D6FCD"/>
    <w:rsid w:val="005E1405"/>
    <w:rsid w:val="005E1824"/>
    <w:rsid w:val="005E33CC"/>
    <w:rsid w:val="005E498E"/>
    <w:rsid w:val="005E55FF"/>
    <w:rsid w:val="005F190C"/>
    <w:rsid w:val="005F2872"/>
    <w:rsid w:val="005F3C2F"/>
    <w:rsid w:val="005F48DD"/>
    <w:rsid w:val="005F4BD5"/>
    <w:rsid w:val="006002B2"/>
    <w:rsid w:val="00601164"/>
    <w:rsid w:val="006119A3"/>
    <w:rsid w:val="00613579"/>
    <w:rsid w:val="00615657"/>
    <w:rsid w:val="00620155"/>
    <w:rsid w:val="0063691A"/>
    <w:rsid w:val="00637427"/>
    <w:rsid w:val="00644C8F"/>
    <w:rsid w:val="00644E4A"/>
    <w:rsid w:val="006455E7"/>
    <w:rsid w:val="00647186"/>
    <w:rsid w:val="0065138E"/>
    <w:rsid w:val="006525D5"/>
    <w:rsid w:val="00652654"/>
    <w:rsid w:val="00653F24"/>
    <w:rsid w:val="006558AD"/>
    <w:rsid w:val="00656896"/>
    <w:rsid w:val="006574D6"/>
    <w:rsid w:val="006578B7"/>
    <w:rsid w:val="00661E4B"/>
    <w:rsid w:val="006658D9"/>
    <w:rsid w:val="0067309A"/>
    <w:rsid w:val="00673AAC"/>
    <w:rsid w:val="0067640A"/>
    <w:rsid w:val="00676996"/>
    <w:rsid w:val="00676B86"/>
    <w:rsid w:val="006775E4"/>
    <w:rsid w:val="00680415"/>
    <w:rsid w:val="00680BF4"/>
    <w:rsid w:val="006864DF"/>
    <w:rsid w:val="0069154F"/>
    <w:rsid w:val="00691D57"/>
    <w:rsid w:val="00691E60"/>
    <w:rsid w:val="00693363"/>
    <w:rsid w:val="006937FC"/>
    <w:rsid w:val="006969F7"/>
    <w:rsid w:val="006A458D"/>
    <w:rsid w:val="006A5EA4"/>
    <w:rsid w:val="006A7713"/>
    <w:rsid w:val="006A7E2A"/>
    <w:rsid w:val="006B3503"/>
    <w:rsid w:val="006B4076"/>
    <w:rsid w:val="006B48FC"/>
    <w:rsid w:val="006B68C4"/>
    <w:rsid w:val="006C02DB"/>
    <w:rsid w:val="006C326A"/>
    <w:rsid w:val="006C3A1D"/>
    <w:rsid w:val="006C489E"/>
    <w:rsid w:val="006C4DA9"/>
    <w:rsid w:val="006C4FC5"/>
    <w:rsid w:val="006C570A"/>
    <w:rsid w:val="006D6B79"/>
    <w:rsid w:val="006D7829"/>
    <w:rsid w:val="006E30ED"/>
    <w:rsid w:val="006E3982"/>
    <w:rsid w:val="006E44B1"/>
    <w:rsid w:val="006E46B2"/>
    <w:rsid w:val="006E4788"/>
    <w:rsid w:val="006E4A63"/>
    <w:rsid w:val="006E6187"/>
    <w:rsid w:val="006E7F58"/>
    <w:rsid w:val="006F07BF"/>
    <w:rsid w:val="006F07CD"/>
    <w:rsid w:val="006F26C1"/>
    <w:rsid w:val="006F2972"/>
    <w:rsid w:val="006F3F0F"/>
    <w:rsid w:val="006F56F1"/>
    <w:rsid w:val="006F689B"/>
    <w:rsid w:val="007070E8"/>
    <w:rsid w:val="0070749C"/>
    <w:rsid w:val="00711516"/>
    <w:rsid w:val="00711A84"/>
    <w:rsid w:val="0071339C"/>
    <w:rsid w:val="00714E81"/>
    <w:rsid w:val="007171C2"/>
    <w:rsid w:val="007171FF"/>
    <w:rsid w:val="007178A9"/>
    <w:rsid w:val="007178DE"/>
    <w:rsid w:val="0072113D"/>
    <w:rsid w:val="00722435"/>
    <w:rsid w:val="0072281C"/>
    <w:rsid w:val="007234B5"/>
    <w:rsid w:val="0072368F"/>
    <w:rsid w:val="007253E3"/>
    <w:rsid w:val="0072645B"/>
    <w:rsid w:val="00726DC4"/>
    <w:rsid w:val="0073095D"/>
    <w:rsid w:val="00734DED"/>
    <w:rsid w:val="007357D8"/>
    <w:rsid w:val="00737C0C"/>
    <w:rsid w:val="00741A58"/>
    <w:rsid w:val="00742CF1"/>
    <w:rsid w:val="0074412F"/>
    <w:rsid w:val="007449F2"/>
    <w:rsid w:val="007535A1"/>
    <w:rsid w:val="00754171"/>
    <w:rsid w:val="0075438D"/>
    <w:rsid w:val="00756F1A"/>
    <w:rsid w:val="00762AEF"/>
    <w:rsid w:val="00764A0B"/>
    <w:rsid w:val="00765FB0"/>
    <w:rsid w:val="00767936"/>
    <w:rsid w:val="00770F53"/>
    <w:rsid w:val="0077172E"/>
    <w:rsid w:val="007767FC"/>
    <w:rsid w:val="0078032F"/>
    <w:rsid w:val="00780D8A"/>
    <w:rsid w:val="007819D0"/>
    <w:rsid w:val="00784C2E"/>
    <w:rsid w:val="00785EBE"/>
    <w:rsid w:val="0079371C"/>
    <w:rsid w:val="00793BAB"/>
    <w:rsid w:val="00796B0C"/>
    <w:rsid w:val="007A06F5"/>
    <w:rsid w:val="007A0C41"/>
    <w:rsid w:val="007A1515"/>
    <w:rsid w:val="007A21D3"/>
    <w:rsid w:val="007B0D50"/>
    <w:rsid w:val="007B1EB7"/>
    <w:rsid w:val="007B4B6C"/>
    <w:rsid w:val="007B4CD4"/>
    <w:rsid w:val="007B542D"/>
    <w:rsid w:val="007B5DB6"/>
    <w:rsid w:val="007B606E"/>
    <w:rsid w:val="007C2302"/>
    <w:rsid w:val="007C3931"/>
    <w:rsid w:val="007C3C20"/>
    <w:rsid w:val="007C7FCD"/>
    <w:rsid w:val="007D0147"/>
    <w:rsid w:val="007D0FA1"/>
    <w:rsid w:val="007D4B19"/>
    <w:rsid w:val="007D73AB"/>
    <w:rsid w:val="007D792F"/>
    <w:rsid w:val="007D7B20"/>
    <w:rsid w:val="007E011B"/>
    <w:rsid w:val="007E3224"/>
    <w:rsid w:val="007E3AC7"/>
    <w:rsid w:val="007E4D98"/>
    <w:rsid w:val="007E68DF"/>
    <w:rsid w:val="007E7553"/>
    <w:rsid w:val="007E7EF4"/>
    <w:rsid w:val="007F07AA"/>
    <w:rsid w:val="007F46CE"/>
    <w:rsid w:val="007F4CC9"/>
    <w:rsid w:val="007F63EB"/>
    <w:rsid w:val="007F65CB"/>
    <w:rsid w:val="00802352"/>
    <w:rsid w:val="00802491"/>
    <w:rsid w:val="0080379C"/>
    <w:rsid w:val="0080645D"/>
    <w:rsid w:val="00806E85"/>
    <w:rsid w:val="00807A19"/>
    <w:rsid w:val="00813DCB"/>
    <w:rsid w:val="00814890"/>
    <w:rsid w:val="00816A7E"/>
    <w:rsid w:val="0082537A"/>
    <w:rsid w:val="008264C4"/>
    <w:rsid w:val="008303AD"/>
    <w:rsid w:val="0083216E"/>
    <w:rsid w:val="008431DD"/>
    <w:rsid w:val="00843585"/>
    <w:rsid w:val="0084473F"/>
    <w:rsid w:val="008476B0"/>
    <w:rsid w:val="00850429"/>
    <w:rsid w:val="008506F1"/>
    <w:rsid w:val="0085160A"/>
    <w:rsid w:val="00852202"/>
    <w:rsid w:val="008526D2"/>
    <w:rsid w:val="00852F4C"/>
    <w:rsid w:val="00853F64"/>
    <w:rsid w:val="00854107"/>
    <w:rsid w:val="008545B2"/>
    <w:rsid w:val="008578D9"/>
    <w:rsid w:val="0086063D"/>
    <w:rsid w:val="008607BB"/>
    <w:rsid w:val="00862303"/>
    <w:rsid w:val="0086245F"/>
    <w:rsid w:val="00862BED"/>
    <w:rsid w:val="00864376"/>
    <w:rsid w:val="008655B9"/>
    <w:rsid w:val="0087549B"/>
    <w:rsid w:val="00877636"/>
    <w:rsid w:val="00880AD2"/>
    <w:rsid w:val="00882153"/>
    <w:rsid w:val="008846AA"/>
    <w:rsid w:val="00886486"/>
    <w:rsid w:val="0089292F"/>
    <w:rsid w:val="00895BAF"/>
    <w:rsid w:val="00897D90"/>
    <w:rsid w:val="008A0DE7"/>
    <w:rsid w:val="008A1CB8"/>
    <w:rsid w:val="008A2D37"/>
    <w:rsid w:val="008A3A7C"/>
    <w:rsid w:val="008A3FDB"/>
    <w:rsid w:val="008A53CE"/>
    <w:rsid w:val="008A7862"/>
    <w:rsid w:val="008B17C8"/>
    <w:rsid w:val="008B710F"/>
    <w:rsid w:val="008C0890"/>
    <w:rsid w:val="008C39F2"/>
    <w:rsid w:val="008C64C5"/>
    <w:rsid w:val="008C6719"/>
    <w:rsid w:val="008C72E9"/>
    <w:rsid w:val="008C7A03"/>
    <w:rsid w:val="008D1006"/>
    <w:rsid w:val="008D506D"/>
    <w:rsid w:val="008D5E3B"/>
    <w:rsid w:val="008D67AF"/>
    <w:rsid w:val="008E03E5"/>
    <w:rsid w:val="008E0C43"/>
    <w:rsid w:val="008E141A"/>
    <w:rsid w:val="008E2454"/>
    <w:rsid w:val="008E4EF4"/>
    <w:rsid w:val="008E53CE"/>
    <w:rsid w:val="008F01EC"/>
    <w:rsid w:val="008F3384"/>
    <w:rsid w:val="008F53D7"/>
    <w:rsid w:val="0090024A"/>
    <w:rsid w:val="00906B78"/>
    <w:rsid w:val="009106DF"/>
    <w:rsid w:val="009127C1"/>
    <w:rsid w:val="00913553"/>
    <w:rsid w:val="00913B59"/>
    <w:rsid w:val="0091448A"/>
    <w:rsid w:val="00915D2F"/>
    <w:rsid w:val="009218F1"/>
    <w:rsid w:val="009225F4"/>
    <w:rsid w:val="00922D6C"/>
    <w:rsid w:val="00934C77"/>
    <w:rsid w:val="009361F9"/>
    <w:rsid w:val="009371AB"/>
    <w:rsid w:val="009407F3"/>
    <w:rsid w:val="009472A2"/>
    <w:rsid w:val="00951857"/>
    <w:rsid w:val="009519D8"/>
    <w:rsid w:val="00952ECD"/>
    <w:rsid w:val="00957990"/>
    <w:rsid w:val="00960C74"/>
    <w:rsid w:val="0096169F"/>
    <w:rsid w:val="0096191D"/>
    <w:rsid w:val="00962525"/>
    <w:rsid w:val="00962FC1"/>
    <w:rsid w:val="00964951"/>
    <w:rsid w:val="00967080"/>
    <w:rsid w:val="00970D78"/>
    <w:rsid w:val="00973EA2"/>
    <w:rsid w:val="00974698"/>
    <w:rsid w:val="009777D9"/>
    <w:rsid w:val="00977FCA"/>
    <w:rsid w:val="00980FB6"/>
    <w:rsid w:val="00982021"/>
    <w:rsid w:val="00985847"/>
    <w:rsid w:val="00985DF2"/>
    <w:rsid w:val="009932E2"/>
    <w:rsid w:val="00994244"/>
    <w:rsid w:val="009A003A"/>
    <w:rsid w:val="009A1279"/>
    <w:rsid w:val="009A170A"/>
    <w:rsid w:val="009A1A3D"/>
    <w:rsid w:val="009A33B4"/>
    <w:rsid w:val="009A3F55"/>
    <w:rsid w:val="009A7FE9"/>
    <w:rsid w:val="009B39D5"/>
    <w:rsid w:val="009B4960"/>
    <w:rsid w:val="009B5B00"/>
    <w:rsid w:val="009B5FBA"/>
    <w:rsid w:val="009B68DD"/>
    <w:rsid w:val="009B6A4D"/>
    <w:rsid w:val="009B73F5"/>
    <w:rsid w:val="009B74A2"/>
    <w:rsid w:val="009C0984"/>
    <w:rsid w:val="009C0F5B"/>
    <w:rsid w:val="009C0FE7"/>
    <w:rsid w:val="009C1C8B"/>
    <w:rsid w:val="009C2DE8"/>
    <w:rsid w:val="009C3E75"/>
    <w:rsid w:val="009C6FFC"/>
    <w:rsid w:val="009C73AA"/>
    <w:rsid w:val="009D05F2"/>
    <w:rsid w:val="009D1561"/>
    <w:rsid w:val="009D2E70"/>
    <w:rsid w:val="009D50CC"/>
    <w:rsid w:val="009D5450"/>
    <w:rsid w:val="009D591C"/>
    <w:rsid w:val="009D7263"/>
    <w:rsid w:val="009E0CE9"/>
    <w:rsid w:val="009E4761"/>
    <w:rsid w:val="009E5352"/>
    <w:rsid w:val="009E5B26"/>
    <w:rsid w:val="009F04CE"/>
    <w:rsid w:val="009F1F60"/>
    <w:rsid w:val="009F2C6C"/>
    <w:rsid w:val="009F579D"/>
    <w:rsid w:val="009F7939"/>
    <w:rsid w:val="00A04850"/>
    <w:rsid w:val="00A10504"/>
    <w:rsid w:val="00A149AA"/>
    <w:rsid w:val="00A14E2F"/>
    <w:rsid w:val="00A15A68"/>
    <w:rsid w:val="00A16BE5"/>
    <w:rsid w:val="00A174D8"/>
    <w:rsid w:val="00A23313"/>
    <w:rsid w:val="00A269AF"/>
    <w:rsid w:val="00A31BFE"/>
    <w:rsid w:val="00A3575A"/>
    <w:rsid w:val="00A36586"/>
    <w:rsid w:val="00A4045C"/>
    <w:rsid w:val="00A41E59"/>
    <w:rsid w:val="00A42877"/>
    <w:rsid w:val="00A42E19"/>
    <w:rsid w:val="00A46211"/>
    <w:rsid w:val="00A46483"/>
    <w:rsid w:val="00A4760A"/>
    <w:rsid w:val="00A504A6"/>
    <w:rsid w:val="00A50CA0"/>
    <w:rsid w:val="00A568B4"/>
    <w:rsid w:val="00A5769F"/>
    <w:rsid w:val="00A615ED"/>
    <w:rsid w:val="00A61FB4"/>
    <w:rsid w:val="00A67E3A"/>
    <w:rsid w:val="00A71504"/>
    <w:rsid w:val="00A72BE6"/>
    <w:rsid w:val="00A73B07"/>
    <w:rsid w:val="00A75148"/>
    <w:rsid w:val="00A77378"/>
    <w:rsid w:val="00A825A9"/>
    <w:rsid w:val="00A8393D"/>
    <w:rsid w:val="00A84BEE"/>
    <w:rsid w:val="00A86B19"/>
    <w:rsid w:val="00A9196C"/>
    <w:rsid w:val="00A932E6"/>
    <w:rsid w:val="00AA033C"/>
    <w:rsid w:val="00AA13B9"/>
    <w:rsid w:val="00AA276A"/>
    <w:rsid w:val="00AB150B"/>
    <w:rsid w:val="00AB1D97"/>
    <w:rsid w:val="00AB5931"/>
    <w:rsid w:val="00AB5C06"/>
    <w:rsid w:val="00AB6D73"/>
    <w:rsid w:val="00AB7615"/>
    <w:rsid w:val="00AC55D8"/>
    <w:rsid w:val="00AC5848"/>
    <w:rsid w:val="00AC6C83"/>
    <w:rsid w:val="00AD2C64"/>
    <w:rsid w:val="00AD66BD"/>
    <w:rsid w:val="00AD7359"/>
    <w:rsid w:val="00AE1A49"/>
    <w:rsid w:val="00B00B29"/>
    <w:rsid w:val="00B00CAF"/>
    <w:rsid w:val="00B046B5"/>
    <w:rsid w:val="00B05362"/>
    <w:rsid w:val="00B07034"/>
    <w:rsid w:val="00B1489A"/>
    <w:rsid w:val="00B15B0D"/>
    <w:rsid w:val="00B21718"/>
    <w:rsid w:val="00B2220B"/>
    <w:rsid w:val="00B23A99"/>
    <w:rsid w:val="00B241B1"/>
    <w:rsid w:val="00B25519"/>
    <w:rsid w:val="00B26365"/>
    <w:rsid w:val="00B30623"/>
    <w:rsid w:val="00B35842"/>
    <w:rsid w:val="00B41657"/>
    <w:rsid w:val="00B41DBC"/>
    <w:rsid w:val="00B4212A"/>
    <w:rsid w:val="00B42297"/>
    <w:rsid w:val="00B42AD6"/>
    <w:rsid w:val="00B43F2B"/>
    <w:rsid w:val="00B46CE2"/>
    <w:rsid w:val="00B4757D"/>
    <w:rsid w:val="00B47C06"/>
    <w:rsid w:val="00B47F7C"/>
    <w:rsid w:val="00B50DBA"/>
    <w:rsid w:val="00B51C6A"/>
    <w:rsid w:val="00B527E8"/>
    <w:rsid w:val="00B55B2D"/>
    <w:rsid w:val="00B55D12"/>
    <w:rsid w:val="00B568F7"/>
    <w:rsid w:val="00B64D08"/>
    <w:rsid w:val="00B66A91"/>
    <w:rsid w:val="00B6710E"/>
    <w:rsid w:val="00B7160B"/>
    <w:rsid w:val="00B7160F"/>
    <w:rsid w:val="00B72089"/>
    <w:rsid w:val="00B74A32"/>
    <w:rsid w:val="00B74F91"/>
    <w:rsid w:val="00B752AC"/>
    <w:rsid w:val="00B75C27"/>
    <w:rsid w:val="00B82ED2"/>
    <w:rsid w:val="00B839E0"/>
    <w:rsid w:val="00B855FA"/>
    <w:rsid w:val="00B87509"/>
    <w:rsid w:val="00B91675"/>
    <w:rsid w:val="00B93684"/>
    <w:rsid w:val="00B9520A"/>
    <w:rsid w:val="00B96A4C"/>
    <w:rsid w:val="00B96E42"/>
    <w:rsid w:val="00BA113A"/>
    <w:rsid w:val="00BA39D5"/>
    <w:rsid w:val="00BA4A89"/>
    <w:rsid w:val="00BA4EC5"/>
    <w:rsid w:val="00BA7286"/>
    <w:rsid w:val="00BA790B"/>
    <w:rsid w:val="00BB0747"/>
    <w:rsid w:val="00BB1D8E"/>
    <w:rsid w:val="00BB269C"/>
    <w:rsid w:val="00BB2FCC"/>
    <w:rsid w:val="00BB3C02"/>
    <w:rsid w:val="00BB40B5"/>
    <w:rsid w:val="00BB5DFF"/>
    <w:rsid w:val="00BC149B"/>
    <w:rsid w:val="00BC1873"/>
    <w:rsid w:val="00BC19DF"/>
    <w:rsid w:val="00BC5794"/>
    <w:rsid w:val="00BC659F"/>
    <w:rsid w:val="00BD0DA3"/>
    <w:rsid w:val="00BD1819"/>
    <w:rsid w:val="00BD1C67"/>
    <w:rsid w:val="00BD21A5"/>
    <w:rsid w:val="00BD26CB"/>
    <w:rsid w:val="00BD4B9F"/>
    <w:rsid w:val="00BD558A"/>
    <w:rsid w:val="00BD642E"/>
    <w:rsid w:val="00BE2B5A"/>
    <w:rsid w:val="00BE5171"/>
    <w:rsid w:val="00BE6807"/>
    <w:rsid w:val="00BF1C5A"/>
    <w:rsid w:val="00BF2DE8"/>
    <w:rsid w:val="00BF5DBE"/>
    <w:rsid w:val="00C046E5"/>
    <w:rsid w:val="00C054B2"/>
    <w:rsid w:val="00C06D14"/>
    <w:rsid w:val="00C10289"/>
    <w:rsid w:val="00C10FC6"/>
    <w:rsid w:val="00C14CD6"/>
    <w:rsid w:val="00C16463"/>
    <w:rsid w:val="00C1692B"/>
    <w:rsid w:val="00C20BBC"/>
    <w:rsid w:val="00C21FA5"/>
    <w:rsid w:val="00C23A57"/>
    <w:rsid w:val="00C30FDE"/>
    <w:rsid w:val="00C31343"/>
    <w:rsid w:val="00C33AE1"/>
    <w:rsid w:val="00C345F6"/>
    <w:rsid w:val="00C375A3"/>
    <w:rsid w:val="00C4049B"/>
    <w:rsid w:val="00C40B03"/>
    <w:rsid w:val="00C41669"/>
    <w:rsid w:val="00C43B9F"/>
    <w:rsid w:val="00C44821"/>
    <w:rsid w:val="00C4600D"/>
    <w:rsid w:val="00C5155A"/>
    <w:rsid w:val="00C54481"/>
    <w:rsid w:val="00C5736C"/>
    <w:rsid w:val="00C65CB1"/>
    <w:rsid w:val="00C70C8B"/>
    <w:rsid w:val="00C739C2"/>
    <w:rsid w:val="00C77D26"/>
    <w:rsid w:val="00C804DB"/>
    <w:rsid w:val="00C818C8"/>
    <w:rsid w:val="00C86FAB"/>
    <w:rsid w:val="00C879DA"/>
    <w:rsid w:val="00C94451"/>
    <w:rsid w:val="00C9589D"/>
    <w:rsid w:val="00C95A5F"/>
    <w:rsid w:val="00CA19B6"/>
    <w:rsid w:val="00CA2FA0"/>
    <w:rsid w:val="00CA3E48"/>
    <w:rsid w:val="00CA4E23"/>
    <w:rsid w:val="00CA57FD"/>
    <w:rsid w:val="00CA7BA1"/>
    <w:rsid w:val="00CA7CAE"/>
    <w:rsid w:val="00CB259A"/>
    <w:rsid w:val="00CB3963"/>
    <w:rsid w:val="00CB3B8A"/>
    <w:rsid w:val="00CB4D84"/>
    <w:rsid w:val="00CC0B77"/>
    <w:rsid w:val="00CC229B"/>
    <w:rsid w:val="00CC334A"/>
    <w:rsid w:val="00CC4011"/>
    <w:rsid w:val="00CC6730"/>
    <w:rsid w:val="00CD052D"/>
    <w:rsid w:val="00CD06F4"/>
    <w:rsid w:val="00CD3BC6"/>
    <w:rsid w:val="00CD632A"/>
    <w:rsid w:val="00CD646B"/>
    <w:rsid w:val="00CE03B5"/>
    <w:rsid w:val="00CE269A"/>
    <w:rsid w:val="00CE2C36"/>
    <w:rsid w:val="00CE70E3"/>
    <w:rsid w:val="00CE7A75"/>
    <w:rsid w:val="00CF149B"/>
    <w:rsid w:val="00CF2A24"/>
    <w:rsid w:val="00CF349F"/>
    <w:rsid w:val="00CF4498"/>
    <w:rsid w:val="00CF5624"/>
    <w:rsid w:val="00CF5674"/>
    <w:rsid w:val="00CF673F"/>
    <w:rsid w:val="00D01141"/>
    <w:rsid w:val="00D0210C"/>
    <w:rsid w:val="00D055C1"/>
    <w:rsid w:val="00D056D9"/>
    <w:rsid w:val="00D07255"/>
    <w:rsid w:val="00D12307"/>
    <w:rsid w:val="00D1244B"/>
    <w:rsid w:val="00D12577"/>
    <w:rsid w:val="00D15C22"/>
    <w:rsid w:val="00D165F3"/>
    <w:rsid w:val="00D22586"/>
    <w:rsid w:val="00D227A5"/>
    <w:rsid w:val="00D264DE"/>
    <w:rsid w:val="00D27880"/>
    <w:rsid w:val="00D27DEB"/>
    <w:rsid w:val="00D367C1"/>
    <w:rsid w:val="00D409B8"/>
    <w:rsid w:val="00D417FB"/>
    <w:rsid w:val="00D43F17"/>
    <w:rsid w:val="00D442DE"/>
    <w:rsid w:val="00D44DD3"/>
    <w:rsid w:val="00D47439"/>
    <w:rsid w:val="00D54967"/>
    <w:rsid w:val="00D54F98"/>
    <w:rsid w:val="00D558A1"/>
    <w:rsid w:val="00D6049C"/>
    <w:rsid w:val="00D61B5C"/>
    <w:rsid w:val="00D6402E"/>
    <w:rsid w:val="00D70397"/>
    <w:rsid w:val="00D70414"/>
    <w:rsid w:val="00D70F05"/>
    <w:rsid w:val="00D710CA"/>
    <w:rsid w:val="00D76D56"/>
    <w:rsid w:val="00D81CFC"/>
    <w:rsid w:val="00D82EB8"/>
    <w:rsid w:val="00D8474E"/>
    <w:rsid w:val="00D86835"/>
    <w:rsid w:val="00D86D13"/>
    <w:rsid w:val="00D91AE7"/>
    <w:rsid w:val="00D91BEE"/>
    <w:rsid w:val="00D97D61"/>
    <w:rsid w:val="00DA2C2B"/>
    <w:rsid w:val="00DA7925"/>
    <w:rsid w:val="00DB264D"/>
    <w:rsid w:val="00DB34AD"/>
    <w:rsid w:val="00DB38A1"/>
    <w:rsid w:val="00DC25A4"/>
    <w:rsid w:val="00DC270A"/>
    <w:rsid w:val="00DC719A"/>
    <w:rsid w:val="00DC77F6"/>
    <w:rsid w:val="00DC7879"/>
    <w:rsid w:val="00DD033F"/>
    <w:rsid w:val="00DD0462"/>
    <w:rsid w:val="00DD2C83"/>
    <w:rsid w:val="00DD6CFB"/>
    <w:rsid w:val="00DE0231"/>
    <w:rsid w:val="00DE14E0"/>
    <w:rsid w:val="00DE1D22"/>
    <w:rsid w:val="00DE26E9"/>
    <w:rsid w:val="00DE74A8"/>
    <w:rsid w:val="00DE78BB"/>
    <w:rsid w:val="00DE78DC"/>
    <w:rsid w:val="00DF12D3"/>
    <w:rsid w:val="00DF33A1"/>
    <w:rsid w:val="00DF3A30"/>
    <w:rsid w:val="00E00470"/>
    <w:rsid w:val="00E00D87"/>
    <w:rsid w:val="00E00DCF"/>
    <w:rsid w:val="00E0282B"/>
    <w:rsid w:val="00E0351D"/>
    <w:rsid w:val="00E05DF7"/>
    <w:rsid w:val="00E079CB"/>
    <w:rsid w:val="00E1023B"/>
    <w:rsid w:val="00E1090E"/>
    <w:rsid w:val="00E11833"/>
    <w:rsid w:val="00E11994"/>
    <w:rsid w:val="00E1327E"/>
    <w:rsid w:val="00E14AD8"/>
    <w:rsid w:val="00E163A7"/>
    <w:rsid w:val="00E16455"/>
    <w:rsid w:val="00E166BD"/>
    <w:rsid w:val="00E1734D"/>
    <w:rsid w:val="00E2047C"/>
    <w:rsid w:val="00E20508"/>
    <w:rsid w:val="00E210A1"/>
    <w:rsid w:val="00E22C10"/>
    <w:rsid w:val="00E23536"/>
    <w:rsid w:val="00E25EB7"/>
    <w:rsid w:val="00E276C4"/>
    <w:rsid w:val="00E301C4"/>
    <w:rsid w:val="00E30984"/>
    <w:rsid w:val="00E32DCD"/>
    <w:rsid w:val="00E32DE0"/>
    <w:rsid w:val="00E32E22"/>
    <w:rsid w:val="00E349B3"/>
    <w:rsid w:val="00E372E5"/>
    <w:rsid w:val="00E37F1B"/>
    <w:rsid w:val="00E403B9"/>
    <w:rsid w:val="00E40BE4"/>
    <w:rsid w:val="00E46534"/>
    <w:rsid w:val="00E5114A"/>
    <w:rsid w:val="00E5690F"/>
    <w:rsid w:val="00E57C83"/>
    <w:rsid w:val="00E604C4"/>
    <w:rsid w:val="00E606B5"/>
    <w:rsid w:val="00E60E37"/>
    <w:rsid w:val="00E61D9D"/>
    <w:rsid w:val="00E62399"/>
    <w:rsid w:val="00E626FF"/>
    <w:rsid w:val="00E627FB"/>
    <w:rsid w:val="00E635D7"/>
    <w:rsid w:val="00E63BA4"/>
    <w:rsid w:val="00E6438D"/>
    <w:rsid w:val="00E64ECF"/>
    <w:rsid w:val="00E67C7A"/>
    <w:rsid w:val="00E704B7"/>
    <w:rsid w:val="00E7079A"/>
    <w:rsid w:val="00E70FC6"/>
    <w:rsid w:val="00E71513"/>
    <w:rsid w:val="00E73E06"/>
    <w:rsid w:val="00E761E9"/>
    <w:rsid w:val="00E77285"/>
    <w:rsid w:val="00E810EA"/>
    <w:rsid w:val="00E817FC"/>
    <w:rsid w:val="00E83321"/>
    <w:rsid w:val="00E83B98"/>
    <w:rsid w:val="00E84105"/>
    <w:rsid w:val="00E843B1"/>
    <w:rsid w:val="00E85E11"/>
    <w:rsid w:val="00E87583"/>
    <w:rsid w:val="00E94B1C"/>
    <w:rsid w:val="00EA3358"/>
    <w:rsid w:val="00EA3E7A"/>
    <w:rsid w:val="00EA4EFA"/>
    <w:rsid w:val="00EA7EC1"/>
    <w:rsid w:val="00EB06E2"/>
    <w:rsid w:val="00EB1A16"/>
    <w:rsid w:val="00EB4A60"/>
    <w:rsid w:val="00EB68AC"/>
    <w:rsid w:val="00EB6F57"/>
    <w:rsid w:val="00EB70D0"/>
    <w:rsid w:val="00EC2440"/>
    <w:rsid w:val="00EC36E1"/>
    <w:rsid w:val="00EC4AA0"/>
    <w:rsid w:val="00EC5FFD"/>
    <w:rsid w:val="00ED2588"/>
    <w:rsid w:val="00ED4123"/>
    <w:rsid w:val="00ED48D1"/>
    <w:rsid w:val="00ED5103"/>
    <w:rsid w:val="00ED6CD4"/>
    <w:rsid w:val="00EE0721"/>
    <w:rsid w:val="00EE25E4"/>
    <w:rsid w:val="00EE4137"/>
    <w:rsid w:val="00EE6C84"/>
    <w:rsid w:val="00EE6FDE"/>
    <w:rsid w:val="00EE7A00"/>
    <w:rsid w:val="00EF4020"/>
    <w:rsid w:val="00EF5158"/>
    <w:rsid w:val="00EF60AE"/>
    <w:rsid w:val="00EF68C2"/>
    <w:rsid w:val="00F00513"/>
    <w:rsid w:val="00F030E1"/>
    <w:rsid w:val="00F04B7A"/>
    <w:rsid w:val="00F06626"/>
    <w:rsid w:val="00F11A59"/>
    <w:rsid w:val="00F14AC9"/>
    <w:rsid w:val="00F14F73"/>
    <w:rsid w:val="00F15592"/>
    <w:rsid w:val="00F15F56"/>
    <w:rsid w:val="00F207E0"/>
    <w:rsid w:val="00F21186"/>
    <w:rsid w:val="00F22929"/>
    <w:rsid w:val="00F22A3F"/>
    <w:rsid w:val="00F22C29"/>
    <w:rsid w:val="00F22DAE"/>
    <w:rsid w:val="00F233C2"/>
    <w:rsid w:val="00F2708C"/>
    <w:rsid w:val="00F276D2"/>
    <w:rsid w:val="00F27966"/>
    <w:rsid w:val="00F30057"/>
    <w:rsid w:val="00F30D1E"/>
    <w:rsid w:val="00F323AC"/>
    <w:rsid w:val="00F32F29"/>
    <w:rsid w:val="00F34D20"/>
    <w:rsid w:val="00F4032F"/>
    <w:rsid w:val="00F40E89"/>
    <w:rsid w:val="00F41B55"/>
    <w:rsid w:val="00F41B87"/>
    <w:rsid w:val="00F4356D"/>
    <w:rsid w:val="00F46653"/>
    <w:rsid w:val="00F50D7A"/>
    <w:rsid w:val="00F5114F"/>
    <w:rsid w:val="00F52160"/>
    <w:rsid w:val="00F569BB"/>
    <w:rsid w:val="00F607E9"/>
    <w:rsid w:val="00F61A9B"/>
    <w:rsid w:val="00F6303A"/>
    <w:rsid w:val="00F637EC"/>
    <w:rsid w:val="00F6749A"/>
    <w:rsid w:val="00F72BC6"/>
    <w:rsid w:val="00F74D92"/>
    <w:rsid w:val="00F74E91"/>
    <w:rsid w:val="00F765AC"/>
    <w:rsid w:val="00F774A1"/>
    <w:rsid w:val="00F83432"/>
    <w:rsid w:val="00F95FD5"/>
    <w:rsid w:val="00FA188F"/>
    <w:rsid w:val="00FA2B45"/>
    <w:rsid w:val="00FA3521"/>
    <w:rsid w:val="00FA4618"/>
    <w:rsid w:val="00FA5C6A"/>
    <w:rsid w:val="00FA70BC"/>
    <w:rsid w:val="00FB04CE"/>
    <w:rsid w:val="00FB17CB"/>
    <w:rsid w:val="00FB3D43"/>
    <w:rsid w:val="00FB5615"/>
    <w:rsid w:val="00FB782A"/>
    <w:rsid w:val="00FC111C"/>
    <w:rsid w:val="00FC36D8"/>
    <w:rsid w:val="00FC60FE"/>
    <w:rsid w:val="00FC6538"/>
    <w:rsid w:val="00FC6BBD"/>
    <w:rsid w:val="00FC7642"/>
    <w:rsid w:val="00FD04B8"/>
    <w:rsid w:val="00FD161B"/>
    <w:rsid w:val="00FD6542"/>
    <w:rsid w:val="00FD6CF8"/>
    <w:rsid w:val="00FD7C99"/>
    <w:rsid w:val="00FE06E7"/>
    <w:rsid w:val="00FE1148"/>
    <w:rsid w:val="00FE232D"/>
    <w:rsid w:val="00FE2B1F"/>
    <w:rsid w:val="00FE3ED7"/>
    <w:rsid w:val="00FE45E3"/>
    <w:rsid w:val="00FE4851"/>
    <w:rsid w:val="00FE4C70"/>
    <w:rsid w:val="00FF0EE3"/>
    <w:rsid w:val="00FF12AA"/>
    <w:rsid w:val="00FF3A0C"/>
    <w:rsid w:val="00FF3FC9"/>
    <w:rsid w:val="011F1A53"/>
    <w:rsid w:val="01B5201B"/>
    <w:rsid w:val="01C87E2D"/>
    <w:rsid w:val="01E565FA"/>
    <w:rsid w:val="01F00AC2"/>
    <w:rsid w:val="02154663"/>
    <w:rsid w:val="02292863"/>
    <w:rsid w:val="02301242"/>
    <w:rsid w:val="023A042F"/>
    <w:rsid w:val="024C6021"/>
    <w:rsid w:val="025010BB"/>
    <w:rsid w:val="02546B6C"/>
    <w:rsid w:val="029A5126"/>
    <w:rsid w:val="02D9500F"/>
    <w:rsid w:val="02E71BD7"/>
    <w:rsid w:val="03277754"/>
    <w:rsid w:val="037449FF"/>
    <w:rsid w:val="03BC14CB"/>
    <w:rsid w:val="03E10EBA"/>
    <w:rsid w:val="03F655EE"/>
    <w:rsid w:val="042664DE"/>
    <w:rsid w:val="043A2F8F"/>
    <w:rsid w:val="044C3400"/>
    <w:rsid w:val="04694538"/>
    <w:rsid w:val="048F3716"/>
    <w:rsid w:val="04B94F4D"/>
    <w:rsid w:val="04C21344"/>
    <w:rsid w:val="04D00F80"/>
    <w:rsid w:val="05454338"/>
    <w:rsid w:val="05E77817"/>
    <w:rsid w:val="061D2A2B"/>
    <w:rsid w:val="06387898"/>
    <w:rsid w:val="063B7194"/>
    <w:rsid w:val="065151B1"/>
    <w:rsid w:val="06D949CD"/>
    <w:rsid w:val="07205A43"/>
    <w:rsid w:val="072C2985"/>
    <w:rsid w:val="079F0123"/>
    <w:rsid w:val="08585B4C"/>
    <w:rsid w:val="08C03D58"/>
    <w:rsid w:val="097A7C6C"/>
    <w:rsid w:val="097C48EB"/>
    <w:rsid w:val="09DE6C10"/>
    <w:rsid w:val="0A14100E"/>
    <w:rsid w:val="0A22297D"/>
    <w:rsid w:val="0A886976"/>
    <w:rsid w:val="0AB04981"/>
    <w:rsid w:val="0ACD63C7"/>
    <w:rsid w:val="0B000C83"/>
    <w:rsid w:val="0B1308F6"/>
    <w:rsid w:val="0B253205"/>
    <w:rsid w:val="0B5F4322"/>
    <w:rsid w:val="0C446DC7"/>
    <w:rsid w:val="0CD20687"/>
    <w:rsid w:val="0CE74F8B"/>
    <w:rsid w:val="0D107A79"/>
    <w:rsid w:val="0D167CE5"/>
    <w:rsid w:val="0D3E4AE7"/>
    <w:rsid w:val="0DFB2FB3"/>
    <w:rsid w:val="0E823EAA"/>
    <w:rsid w:val="0E8A6DC2"/>
    <w:rsid w:val="0EB55CA2"/>
    <w:rsid w:val="0ECA344C"/>
    <w:rsid w:val="0F2A19CF"/>
    <w:rsid w:val="0F507316"/>
    <w:rsid w:val="0F75734D"/>
    <w:rsid w:val="0F7C390C"/>
    <w:rsid w:val="0FD542E6"/>
    <w:rsid w:val="0FE07D7F"/>
    <w:rsid w:val="10182083"/>
    <w:rsid w:val="109F7C81"/>
    <w:rsid w:val="10A049A9"/>
    <w:rsid w:val="10A74B97"/>
    <w:rsid w:val="10AE050B"/>
    <w:rsid w:val="10B643FA"/>
    <w:rsid w:val="10DA76D6"/>
    <w:rsid w:val="113A2F0E"/>
    <w:rsid w:val="116A3953"/>
    <w:rsid w:val="11FE06F3"/>
    <w:rsid w:val="12073485"/>
    <w:rsid w:val="121F5BBC"/>
    <w:rsid w:val="122B2DC6"/>
    <w:rsid w:val="126F7F50"/>
    <w:rsid w:val="128B37A6"/>
    <w:rsid w:val="129810EB"/>
    <w:rsid w:val="12E71799"/>
    <w:rsid w:val="13112404"/>
    <w:rsid w:val="132A7280"/>
    <w:rsid w:val="13416D96"/>
    <w:rsid w:val="13764A3E"/>
    <w:rsid w:val="13B677A9"/>
    <w:rsid w:val="13EE3401"/>
    <w:rsid w:val="142E526F"/>
    <w:rsid w:val="14693FA2"/>
    <w:rsid w:val="14A744DC"/>
    <w:rsid w:val="14AD0DD4"/>
    <w:rsid w:val="15562E0E"/>
    <w:rsid w:val="159A0776"/>
    <w:rsid w:val="1677734A"/>
    <w:rsid w:val="17216AF1"/>
    <w:rsid w:val="17422B1D"/>
    <w:rsid w:val="176F2136"/>
    <w:rsid w:val="17EB1580"/>
    <w:rsid w:val="17F712BD"/>
    <w:rsid w:val="1817154F"/>
    <w:rsid w:val="187F4F37"/>
    <w:rsid w:val="18953078"/>
    <w:rsid w:val="18B70434"/>
    <w:rsid w:val="1922698B"/>
    <w:rsid w:val="1983492A"/>
    <w:rsid w:val="1A2A1B57"/>
    <w:rsid w:val="1B3A7B26"/>
    <w:rsid w:val="1B7A33A9"/>
    <w:rsid w:val="1B820C36"/>
    <w:rsid w:val="1C341BE3"/>
    <w:rsid w:val="1C426CD6"/>
    <w:rsid w:val="1C47643B"/>
    <w:rsid w:val="1C5E08C4"/>
    <w:rsid w:val="1C730FDE"/>
    <w:rsid w:val="1CC75F0F"/>
    <w:rsid w:val="1D026B6B"/>
    <w:rsid w:val="1D13153B"/>
    <w:rsid w:val="1D807409"/>
    <w:rsid w:val="1DB40E22"/>
    <w:rsid w:val="1DCF37F0"/>
    <w:rsid w:val="1E075089"/>
    <w:rsid w:val="1E2A4C19"/>
    <w:rsid w:val="1EAD5057"/>
    <w:rsid w:val="1ED82539"/>
    <w:rsid w:val="1F072313"/>
    <w:rsid w:val="1F772FCB"/>
    <w:rsid w:val="1F8B60F0"/>
    <w:rsid w:val="2009603A"/>
    <w:rsid w:val="20917681"/>
    <w:rsid w:val="20F01EC6"/>
    <w:rsid w:val="21084144"/>
    <w:rsid w:val="210C0AB7"/>
    <w:rsid w:val="21440214"/>
    <w:rsid w:val="21955768"/>
    <w:rsid w:val="21FA1A16"/>
    <w:rsid w:val="221E1123"/>
    <w:rsid w:val="22674D7D"/>
    <w:rsid w:val="2342564B"/>
    <w:rsid w:val="236C7186"/>
    <w:rsid w:val="23910769"/>
    <w:rsid w:val="23A138B4"/>
    <w:rsid w:val="23B2130E"/>
    <w:rsid w:val="24021188"/>
    <w:rsid w:val="2459318C"/>
    <w:rsid w:val="246F0492"/>
    <w:rsid w:val="24B21A5A"/>
    <w:rsid w:val="24FD246F"/>
    <w:rsid w:val="25027012"/>
    <w:rsid w:val="250975F4"/>
    <w:rsid w:val="26132266"/>
    <w:rsid w:val="26674565"/>
    <w:rsid w:val="26E50D2A"/>
    <w:rsid w:val="26E866B4"/>
    <w:rsid w:val="27997EDF"/>
    <w:rsid w:val="27CA036D"/>
    <w:rsid w:val="27F3015D"/>
    <w:rsid w:val="28421013"/>
    <w:rsid w:val="285E79CB"/>
    <w:rsid w:val="286337EB"/>
    <w:rsid w:val="286A466A"/>
    <w:rsid w:val="287B6F62"/>
    <w:rsid w:val="288C62EA"/>
    <w:rsid w:val="28E90451"/>
    <w:rsid w:val="29523D8B"/>
    <w:rsid w:val="29564794"/>
    <w:rsid w:val="29C74A0E"/>
    <w:rsid w:val="29C94F77"/>
    <w:rsid w:val="2A5C2E7E"/>
    <w:rsid w:val="2B02353D"/>
    <w:rsid w:val="2B044B89"/>
    <w:rsid w:val="2B093819"/>
    <w:rsid w:val="2B3E2541"/>
    <w:rsid w:val="2BDE08FA"/>
    <w:rsid w:val="2BEB7CFF"/>
    <w:rsid w:val="2BF90944"/>
    <w:rsid w:val="2C354AF2"/>
    <w:rsid w:val="2C586EAF"/>
    <w:rsid w:val="2C713317"/>
    <w:rsid w:val="2C8F7376"/>
    <w:rsid w:val="2CB562BE"/>
    <w:rsid w:val="2CEC4612"/>
    <w:rsid w:val="2D4B773E"/>
    <w:rsid w:val="2D673047"/>
    <w:rsid w:val="2DC35A6B"/>
    <w:rsid w:val="2E201624"/>
    <w:rsid w:val="2E8D0249"/>
    <w:rsid w:val="2EE92E1E"/>
    <w:rsid w:val="2F2720ED"/>
    <w:rsid w:val="2F357E25"/>
    <w:rsid w:val="2F395F54"/>
    <w:rsid w:val="2F697164"/>
    <w:rsid w:val="2F870A85"/>
    <w:rsid w:val="2F9072FF"/>
    <w:rsid w:val="2FCC4D09"/>
    <w:rsid w:val="2FD52175"/>
    <w:rsid w:val="2FF16D8F"/>
    <w:rsid w:val="304D21A4"/>
    <w:rsid w:val="30502B6D"/>
    <w:rsid w:val="30AE768C"/>
    <w:rsid w:val="31091AB9"/>
    <w:rsid w:val="317D18D2"/>
    <w:rsid w:val="31C92AD2"/>
    <w:rsid w:val="3285327B"/>
    <w:rsid w:val="328716F8"/>
    <w:rsid w:val="32E81EB9"/>
    <w:rsid w:val="330B5E15"/>
    <w:rsid w:val="332F28F5"/>
    <w:rsid w:val="33D3632F"/>
    <w:rsid w:val="33FD76BE"/>
    <w:rsid w:val="34055461"/>
    <w:rsid w:val="34407811"/>
    <w:rsid w:val="344F417C"/>
    <w:rsid w:val="34530AE6"/>
    <w:rsid w:val="345343F5"/>
    <w:rsid w:val="345A37A9"/>
    <w:rsid w:val="34FE57FA"/>
    <w:rsid w:val="35156241"/>
    <w:rsid w:val="351C180B"/>
    <w:rsid w:val="35394371"/>
    <w:rsid w:val="354662DF"/>
    <w:rsid w:val="35B35362"/>
    <w:rsid w:val="35D455C8"/>
    <w:rsid w:val="35FD3316"/>
    <w:rsid w:val="360B340E"/>
    <w:rsid w:val="3633308A"/>
    <w:rsid w:val="36865D8A"/>
    <w:rsid w:val="36A95791"/>
    <w:rsid w:val="36B92E1C"/>
    <w:rsid w:val="36E3512F"/>
    <w:rsid w:val="36E542A3"/>
    <w:rsid w:val="36EC5CED"/>
    <w:rsid w:val="37036833"/>
    <w:rsid w:val="376B60CC"/>
    <w:rsid w:val="37846F04"/>
    <w:rsid w:val="378F12B1"/>
    <w:rsid w:val="37977A6D"/>
    <w:rsid w:val="37A15113"/>
    <w:rsid w:val="38231C25"/>
    <w:rsid w:val="38307E3A"/>
    <w:rsid w:val="38666187"/>
    <w:rsid w:val="38716244"/>
    <w:rsid w:val="38B12F93"/>
    <w:rsid w:val="38BE2B1C"/>
    <w:rsid w:val="390C3312"/>
    <w:rsid w:val="391A4DE7"/>
    <w:rsid w:val="391B2D98"/>
    <w:rsid w:val="392845DF"/>
    <w:rsid w:val="39384075"/>
    <w:rsid w:val="39905C5B"/>
    <w:rsid w:val="39C93C16"/>
    <w:rsid w:val="39DE2B24"/>
    <w:rsid w:val="39ED0AA1"/>
    <w:rsid w:val="39FA7F52"/>
    <w:rsid w:val="3A002E9A"/>
    <w:rsid w:val="3A0D7635"/>
    <w:rsid w:val="3A5D7DF1"/>
    <w:rsid w:val="3A696106"/>
    <w:rsid w:val="3A771E7C"/>
    <w:rsid w:val="3AAF136E"/>
    <w:rsid w:val="3ACA26EC"/>
    <w:rsid w:val="3AEE58E1"/>
    <w:rsid w:val="3B1521EF"/>
    <w:rsid w:val="3B1934F7"/>
    <w:rsid w:val="3B480A98"/>
    <w:rsid w:val="3BB64A67"/>
    <w:rsid w:val="3CA40A90"/>
    <w:rsid w:val="3CC36161"/>
    <w:rsid w:val="3D0B562A"/>
    <w:rsid w:val="3D380F65"/>
    <w:rsid w:val="3D532A73"/>
    <w:rsid w:val="3D663392"/>
    <w:rsid w:val="3DA610DF"/>
    <w:rsid w:val="3DF64736"/>
    <w:rsid w:val="3E6E2926"/>
    <w:rsid w:val="3E734AA8"/>
    <w:rsid w:val="3EBC53F6"/>
    <w:rsid w:val="3EBE60F2"/>
    <w:rsid w:val="3F390EE3"/>
    <w:rsid w:val="3F8C48AE"/>
    <w:rsid w:val="3FA041AC"/>
    <w:rsid w:val="3FEC6FA3"/>
    <w:rsid w:val="40104C12"/>
    <w:rsid w:val="404D6193"/>
    <w:rsid w:val="40711729"/>
    <w:rsid w:val="409669F0"/>
    <w:rsid w:val="41017B2F"/>
    <w:rsid w:val="418B32B2"/>
    <w:rsid w:val="4228754F"/>
    <w:rsid w:val="42422076"/>
    <w:rsid w:val="4243163F"/>
    <w:rsid w:val="42473139"/>
    <w:rsid w:val="427830BA"/>
    <w:rsid w:val="42837591"/>
    <w:rsid w:val="42942D63"/>
    <w:rsid w:val="42BC64DD"/>
    <w:rsid w:val="42E2174B"/>
    <w:rsid w:val="43B76C4B"/>
    <w:rsid w:val="44036C30"/>
    <w:rsid w:val="440B0908"/>
    <w:rsid w:val="443F7548"/>
    <w:rsid w:val="444A128E"/>
    <w:rsid w:val="449D633E"/>
    <w:rsid w:val="44BF3ED1"/>
    <w:rsid w:val="44E13350"/>
    <w:rsid w:val="451D41E6"/>
    <w:rsid w:val="4544208D"/>
    <w:rsid w:val="4560102C"/>
    <w:rsid w:val="45853E19"/>
    <w:rsid w:val="45B506A1"/>
    <w:rsid w:val="45C17CDE"/>
    <w:rsid w:val="45F95527"/>
    <w:rsid w:val="45FE57B3"/>
    <w:rsid w:val="464B75B8"/>
    <w:rsid w:val="46501022"/>
    <w:rsid w:val="46B22DAD"/>
    <w:rsid w:val="46F26148"/>
    <w:rsid w:val="47022C63"/>
    <w:rsid w:val="47286E32"/>
    <w:rsid w:val="479E32E6"/>
    <w:rsid w:val="47C85BBD"/>
    <w:rsid w:val="47E47304"/>
    <w:rsid w:val="47E50A8C"/>
    <w:rsid w:val="487C76A0"/>
    <w:rsid w:val="48853388"/>
    <w:rsid w:val="489243B7"/>
    <w:rsid w:val="489A547A"/>
    <w:rsid w:val="48EC26F4"/>
    <w:rsid w:val="48F573F1"/>
    <w:rsid w:val="49D97353"/>
    <w:rsid w:val="49F639F5"/>
    <w:rsid w:val="4A642A4E"/>
    <w:rsid w:val="4AA84682"/>
    <w:rsid w:val="4ACB543E"/>
    <w:rsid w:val="4ADC51BE"/>
    <w:rsid w:val="4AFC1194"/>
    <w:rsid w:val="4B142168"/>
    <w:rsid w:val="4B1D1201"/>
    <w:rsid w:val="4B9932D0"/>
    <w:rsid w:val="4C4A3A0C"/>
    <w:rsid w:val="4C556956"/>
    <w:rsid w:val="4D40043E"/>
    <w:rsid w:val="4DC54641"/>
    <w:rsid w:val="4DCA2D3A"/>
    <w:rsid w:val="4E7835BC"/>
    <w:rsid w:val="4E873C75"/>
    <w:rsid w:val="4E8B26C7"/>
    <w:rsid w:val="4E913497"/>
    <w:rsid w:val="4EB122B3"/>
    <w:rsid w:val="4ED313FC"/>
    <w:rsid w:val="4ED50339"/>
    <w:rsid w:val="4F411A2B"/>
    <w:rsid w:val="4F9834CC"/>
    <w:rsid w:val="4F9973F4"/>
    <w:rsid w:val="4FB516E1"/>
    <w:rsid w:val="4FD07B4B"/>
    <w:rsid w:val="50142A24"/>
    <w:rsid w:val="502B1E21"/>
    <w:rsid w:val="50A53988"/>
    <w:rsid w:val="514432FE"/>
    <w:rsid w:val="51450D89"/>
    <w:rsid w:val="51854E7F"/>
    <w:rsid w:val="51877F72"/>
    <w:rsid w:val="51F46078"/>
    <w:rsid w:val="51FC53E0"/>
    <w:rsid w:val="5201325E"/>
    <w:rsid w:val="52537187"/>
    <w:rsid w:val="52831058"/>
    <w:rsid w:val="52C55C27"/>
    <w:rsid w:val="532A0A56"/>
    <w:rsid w:val="533F5425"/>
    <w:rsid w:val="538006EE"/>
    <w:rsid w:val="545D163F"/>
    <w:rsid w:val="54661A6D"/>
    <w:rsid w:val="547000E3"/>
    <w:rsid w:val="54A133DF"/>
    <w:rsid w:val="54DC6F76"/>
    <w:rsid w:val="54F262B2"/>
    <w:rsid w:val="55500544"/>
    <w:rsid w:val="5558603B"/>
    <w:rsid w:val="558A07AD"/>
    <w:rsid w:val="55AD4568"/>
    <w:rsid w:val="55DC3E5D"/>
    <w:rsid w:val="55EF390D"/>
    <w:rsid w:val="55F60BA9"/>
    <w:rsid w:val="561016A7"/>
    <w:rsid w:val="561C06B7"/>
    <w:rsid w:val="56985ECA"/>
    <w:rsid w:val="570D10A9"/>
    <w:rsid w:val="577A2152"/>
    <w:rsid w:val="57962DD5"/>
    <w:rsid w:val="57DA2FF7"/>
    <w:rsid w:val="58750081"/>
    <w:rsid w:val="58CE4E5E"/>
    <w:rsid w:val="58D32786"/>
    <w:rsid w:val="5940355A"/>
    <w:rsid w:val="59CA67CF"/>
    <w:rsid w:val="59CD6415"/>
    <w:rsid w:val="59D77ED8"/>
    <w:rsid w:val="5A1F4157"/>
    <w:rsid w:val="5A4F1A83"/>
    <w:rsid w:val="5AF60605"/>
    <w:rsid w:val="5B092532"/>
    <w:rsid w:val="5B1D1F89"/>
    <w:rsid w:val="5B726428"/>
    <w:rsid w:val="5B883509"/>
    <w:rsid w:val="5B8D4F11"/>
    <w:rsid w:val="5B97670E"/>
    <w:rsid w:val="5BC86507"/>
    <w:rsid w:val="5C0C4A07"/>
    <w:rsid w:val="5C5825AA"/>
    <w:rsid w:val="5C5E59FD"/>
    <w:rsid w:val="5C9639C4"/>
    <w:rsid w:val="5D293A79"/>
    <w:rsid w:val="5D554490"/>
    <w:rsid w:val="5D617B99"/>
    <w:rsid w:val="5D6A0264"/>
    <w:rsid w:val="5DA913A6"/>
    <w:rsid w:val="5DFC41A9"/>
    <w:rsid w:val="5E215AF5"/>
    <w:rsid w:val="5E85058B"/>
    <w:rsid w:val="5F0F6B05"/>
    <w:rsid w:val="5F2549F6"/>
    <w:rsid w:val="5FEF0BC8"/>
    <w:rsid w:val="60235E90"/>
    <w:rsid w:val="607A593F"/>
    <w:rsid w:val="607E760A"/>
    <w:rsid w:val="6090471F"/>
    <w:rsid w:val="60965ADD"/>
    <w:rsid w:val="60CF4CAA"/>
    <w:rsid w:val="61226E78"/>
    <w:rsid w:val="612A36F4"/>
    <w:rsid w:val="619322D8"/>
    <w:rsid w:val="61AC4E9D"/>
    <w:rsid w:val="61AE0F73"/>
    <w:rsid w:val="61B52654"/>
    <w:rsid w:val="61BB1034"/>
    <w:rsid w:val="61C72E6E"/>
    <w:rsid w:val="625B56F8"/>
    <w:rsid w:val="632E79DE"/>
    <w:rsid w:val="63A04925"/>
    <w:rsid w:val="63A36A32"/>
    <w:rsid w:val="63CF1C92"/>
    <w:rsid w:val="63D50A45"/>
    <w:rsid w:val="6409130A"/>
    <w:rsid w:val="641A1533"/>
    <w:rsid w:val="64B90B78"/>
    <w:rsid w:val="653E2C47"/>
    <w:rsid w:val="65713B58"/>
    <w:rsid w:val="65BF71D6"/>
    <w:rsid w:val="660F52E1"/>
    <w:rsid w:val="674B49C6"/>
    <w:rsid w:val="675343DC"/>
    <w:rsid w:val="67766987"/>
    <w:rsid w:val="67FB8FE1"/>
    <w:rsid w:val="681A5F3B"/>
    <w:rsid w:val="683602AE"/>
    <w:rsid w:val="68633B35"/>
    <w:rsid w:val="6878474F"/>
    <w:rsid w:val="68B0186F"/>
    <w:rsid w:val="690A7BA1"/>
    <w:rsid w:val="690C2762"/>
    <w:rsid w:val="691876FE"/>
    <w:rsid w:val="691E574C"/>
    <w:rsid w:val="69501373"/>
    <w:rsid w:val="699948E1"/>
    <w:rsid w:val="6AB54053"/>
    <w:rsid w:val="6B4015B2"/>
    <w:rsid w:val="6B61082D"/>
    <w:rsid w:val="6B754BB2"/>
    <w:rsid w:val="6B8A4FC9"/>
    <w:rsid w:val="6BBB08DF"/>
    <w:rsid w:val="6BE801E7"/>
    <w:rsid w:val="6C2D178F"/>
    <w:rsid w:val="6C9F465B"/>
    <w:rsid w:val="6CB43BD9"/>
    <w:rsid w:val="6CBF1508"/>
    <w:rsid w:val="6CE27ACD"/>
    <w:rsid w:val="6CE54BAD"/>
    <w:rsid w:val="6D241E63"/>
    <w:rsid w:val="6D6B6E4D"/>
    <w:rsid w:val="6D9305DB"/>
    <w:rsid w:val="6DC37052"/>
    <w:rsid w:val="6DE94F39"/>
    <w:rsid w:val="6DF243DE"/>
    <w:rsid w:val="6E056DE4"/>
    <w:rsid w:val="6E2D7400"/>
    <w:rsid w:val="6E543DB3"/>
    <w:rsid w:val="6E8C68AC"/>
    <w:rsid w:val="6E937CD8"/>
    <w:rsid w:val="6F13037E"/>
    <w:rsid w:val="6F3D3ED9"/>
    <w:rsid w:val="6F414742"/>
    <w:rsid w:val="6F422395"/>
    <w:rsid w:val="6F5E5CAB"/>
    <w:rsid w:val="6F777F27"/>
    <w:rsid w:val="6FC113A3"/>
    <w:rsid w:val="6FCB39B7"/>
    <w:rsid w:val="707D5EC5"/>
    <w:rsid w:val="70C90DC0"/>
    <w:rsid w:val="70CE529A"/>
    <w:rsid w:val="71E75C26"/>
    <w:rsid w:val="71FF4465"/>
    <w:rsid w:val="723C52DD"/>
    <w:rsid w:val="72DE59F0"/>
    <w:rsid w:val="73094600"/>
    <w:rsid w:val="73295315"/>
    <w:rsid w:val="732A2376"/>
    <w:rsid w:val="73320DFD"/>
    <w:rsid w:val="738D1120"/>
    <w:rsid w:val="73A47D96"/>
    <w:rsid w:val="73BA3DE4"/>
    <w:rsid w:val="740C659A"/>
    <w:rsid w:val="74567DE9"/>
    <w:rsid w:val="7460295E"/>
    <w:rsid w:val="752442F9"/>
    <w:rsid w:val="75885418"/>
    <w:rsid w:val="75D81FEC"/>
    <w:rsid w:val="75F40C53"/>
    <w:rsid w:val="760261F5"/>
    <w:rsid w:val="76E5305A"/>
    <w:rsid w:val="77044481"/>
    <w:rsid w:val="77326D7C"/>
    <w:rsid w:val="773A092C"/>
    <w:rsid w:val="77694F52"/>
    <w:rsid w:val="777651F6"/>
    <w:rsid w:val="77FA5D85"/>
    <w:rsid w:val="78273EF6"/>
    <w:rsid w:val="7919753F"/>
    <w:rsid w:val="79353340"/>
    <w:rsid w:val="795A70E9"/>
    <w:rsid w:val="7A5F4BAC"/>
    <w:rsid w:val="7A6946E2"/>
    <w:rsid w:val="7A984F70"/>
    <w:rsid w:val="7AFE373A"/>
    <w:rsid w:val="7B366634"/>
    <w:rsid w:val="7B4E2788"/>
    <w:rsid w:val="7B70526D"/>
    <w:rsid w:val="7BA81DE3"/>
    <w:rsid w:val="7BC90D68"/>
    <w:rsid w:val="7BD9545B"/>
    <w:rsid w:val="7C7B179D"/>
    <w:rsid w:val="7C7F7A0B"/>
    <w:rsid w:val="7C9E6B19"/>
    <w:rsid w:val="7CD07F23"/>
    <w:rsid w:val="7CEA5711"/>
    <w:rsid w:val="7D8F6250"/>
    <w:rsid w:val="7D987E04"/>
    <w:rsid w:val="7DD6089E"/>
    <w:rsid w:val="7DDB0212"/>
    <w:rsid w:val="7E1B491C"/>
    <w:rsid w:val="7E295D76"/>
    <w:rsid w:val="7EA753CB"/>
    <w:rsid w:val="7F674106"/>
    <w:rsid w:val="F1D92A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7"/>
    <w:qFormat/>
    <w:uiPriority w:val="0"/>
    <w:pPr>
      <w:keepNext/>
      <w:keepLines/>
      <w:numPr>
        <w:ilvl w:val="0"/>
        <w:numId w:val="1"/>
      </w:numPr>
      <w:spacing w:before="340" w:after="330" w:line="578" w:lineRule="auto"/>
      <w:outlineLvl w:val="0"/>
    </w:pPr>
    <w:rPr>
      <w:b/>
      <w:bCs/>
      <w:kern w:val="44"/>
      <w:sz w:val="44"/>
      <w:szCs w:val="44"/>
    </w:rPr>
  </w:style>
  <w:style w:type="paragraph" w:styleId="7">
    <w:name w:val="heading 2"/>
    <w:basedOn w:val="1"/>
    <w:next w:val="1"/>
    <w:link w:val="3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8">
    <w:name w:val="heading 3"/>
    <w:basedOn w:val="1"/>
    <w:next w:val="1"/>
    <w:link w:val="54"/>
    <w:qFormat/>
    <w:uiPriority w:val="0"/>
    <w:pPr>
      <w:keepNext/>
      <w:keepLines/>
      <w:numPr>
        <w:ilvl w:val="2"/>
        <w:numId w:val="1"/>
      </w:numPr>
      <w:spacing w:before="260" w:after="260" w:line="416" w:lineRule="auto"/>
      <w:outlineLvl w:val="2"/>
    </w:pPr>
    <w:rPr>
      <w:b/>
      <w:bCs/>
      <w:sz w:val="32"/>
      <w:szCs w:val="32"/>
    </w:rPr>
  </w:style>
  <w:style w:type="paragraph" w:styleId="9">
    <w:name w:val="heading 4"/>
    <w:basedOn w:val="1"/>
    <w:next w:val="1"/>
    <w:link w:val="35"/>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10">
    <w:name w:val="heading 5"/>
    <w:basedOn w:val="1"/>
    <w:next w:val="1"/>
    <w:link w:val="41"/>
    <w:qFormat/>
    <w:uiPriority w:val="0"/>
    <w:pPr>
      <w:keepNext/>
      <w:keepLines/>
      <w:numPr>
        <w:ilvl w:val="4"/>
        <w:numId w:val="1"/>
      </w:numPr>
      <w:spacing w:before="280" w:after="290" w:line="376" w:lineRule="auto"/>
      <w:outlineLvl w:val="4"/>
    </w:pPr>
    <w:rPr>
      <w:b/>
      <w:bCs/>
      <w:sz w:val="28"/>
      <w:szCs w:val="28"/>
    </w:rPr>
  </w:style>
  <w:style w:type="paragraph" w:styleId="11">
    <w:name w:val="heading 6"/>
    <w:basedOn w:val="1"/>
    <w:next w:val="1"/>
    <w:link w:val="4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2">
    <w:name w:val="heading 7"/>
    <w:basedOn w:val="1"/>
    <w:next w:val="1"/>
    <w:link w:val="55"/>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link w:val="47"/>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
    <w:link w:val="3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unhideWhenUsed/>
    <w:qFormat/>
    <w:uiPriority w:val="99"/>
    <w:pPr>
      <w:ind w:firstLine="420" w:firstLineChars="200"/>
    </w:pPr>
  </w:style>
  <w:style w:type="paragraph" w:styleId="5">
    <w:name w:val="toc 4"/>
    <w:basedOn w:val="1"/>
    <w:next w:val="1"/>
    <w:qFormat/>
    <w:uiPriority w:val="0"/>
    <w:pPr>
      <w:ind w:left="1260"/>
    </w:pPr>
    <w:rPr>
      <w:rFonts w:ascii="黑体" w:eastAsia="黑体"/>
      <w:sz w:val="32"/>
      <w:szCs w:val="32"/>
    </w:rPr>
  </w:style>
  <w:style w:type="paragraph" w:styleId="15">
    <w:name w:val="annotation text"/>
    <w:basedOn w:val="1"/>
    <w:link w:val="59"/>
    <w:qFormat/>
    <w:uiPriority w:val="0"/>
    <w:pPr>
      <w:jc w:val="left"/>
    </w:pPr>
  </w:style>
  <w:style w:type="paragraph" w:styleId="16">
    <w:name w:val="Body Text"/>
    <w:basedOn w:val="1"/>
    <w:next w:val="1"/>
    <w:unhideWhenUsed/>
    <w:qFormat/>
    <w:uiPriority w:val="0"/>
    <w:pPr>
      <w:spacing w:after="120" w:afterLines="0" w:afterAutospacing="0"/>
    </w:pPr>
  </w:style>
  <w:style w:type="paragraph" w:styleId="17">
    <w:name w:val="toc 5"/>
    <w:basedOn w:val="1"/>
    <w:next w:val="1"/>
    <w:qFormat/>
    <w:uiPriority w:val="0"/>
    <w:pPr>
      <w:ind w:left="800" w:leftChars="800"/>
    </w:pPr>
  </w:style>
  <w:style w:type="paragraph" w:styleId="18">
    <w:name w:val="Date"/>
    <w:basedOn w:val="1"/>
    <w:next w:val="1"/>
    <w:qFormat/>
    <w:uiPriority w:val="0"/>
    <w:pPr>
      <w:ind w:left="100" w:leftChars="2500"/>
    </w:pPr>
  </w:style>
  <w:style w:type="paragraph" w:styleId="19">
    <w:name w:val="Balloon Text"/>
    <w:basedOn w:val="1"/>
    <w:link w:val="50"/>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5"/>
    <w:next w:val="15"/>
    <w:link w:val="58"/>
    <w:qFormat/>
    <w:uiPriority w:val="0"/>
    <w:rPr>
      <w:b/>
      <w:bCs/>
    </w:rPr>
  </w:style>
  <w:style w:type="paragraph" w:styleId="24">
    <w:name w:val="Body Text First Indent"/>
    <w:basedOn w:val="16"/>
    <w:next w:val="1"/>
    <w:qFormat/>
    <w:uiPriority w:val="0"/>
    <w:pPr>
      <w:ind w:firstLine="420" w:firstLineChars="100"/>
    </w:pPr>
  </w:style>
  <w:style w:type="table" w:styleId="26">
    <w:name w:val="Table Grid"/>
    <w:basedOn w:val="25"/>
    <w:qFormat/>
    <w:uiPriority w:val="0"/>
    <w:pPr>
      <w:widowControl w:val="0"/>
      <w:jc w:val="both"/>
    </w:pPr>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Hyperlink"/>
    <w:basedOn w:val="27"/>
    <w:qFormat/>
    <w:uiPriority w:val="0"/>
    <w:rPr>
      <w:color w:val="0563C1"/>
      <w:u w:val="single"/>
    </w:rPr>
  </w:style>
  <w:style w:type="character" w:styleId="32">
    <w:name w:val="HTML Code"/>
    <w:qFormat/>
    <w:uiPriority w:val="0"/>
    <w:rPr>
      <w:rFonts w:ascii="宋体" w:hAnsi="宋体" w:eastAsia="宋体" w:cs="宋体"/>
      <w:sz w:val="24"/>
      <w:szCs w:val="24"/>
    </w:rPr>
  </w:style>
  <w:style w:type="character" w:styleId="33">
    <w:name w:val="annotation reference"/>
    <w:qFormat/>
    <w:uiPriority w:val="0"/>
    <w:rPr>
      <w:sz w:val="21"/>
      <w:szCs w:val="21"/>
    </w:rPr>
  </w:style>
  <w:style w:type="paragraph" w:customStyle="1" w:styleId="34">
    <w:name w:val="_Style 1"/>
    <w:basedOn w:val="1"/>
    <w:qFormat/>
    <w:uiPriority w:val="0"/>
    <w:rPr>
      <w:rFonts w:ascii="Times New Roman" w:hAnsi="Times New Roman"/>
    </w:rPr>
  </w:style>
  <w:style w:type="character" w:customStyle="1" w:styleId="35">
    <w:name w:val="标题 4 Char"/>
    <w:link w:val="9"/>
    <w:qFormat/>
    <w:uiPriority w:val="0"/>
    <w:rPr>
      <w:rFonts w:ascii="Arial" w:hAnsi="Arial" w:eastAsia="黑体"/>
      <w:b/>
      <w:bCs/>
      <w:kern w:val="2"/>
      <w:sz w:val="28"/>
      <w:szCs w:val="28"/>
      <w:lang w:val="en-US" w:eastAsia="zh-CN" w:bidi="ar-SA"/>
    </w:rPr>
  </w:style>
  <w:style w:type="character" w:customStyle="1" w:styleId="36">
    <w:name w:val="标题 2 Char"/>
    <w:link w:val="7"/>
    <w:qFormat/>
    <w:uiPriority w:val="0"/>
    <w:rPr>
      <w:rFonts w:ascii="Arial" w:hAnsi="Arial" w:eastAsia="黑体"/>
      <w:b/>
      <w:bCs/>
      <w:kern w:val="2"/>
      <w:sz w:val="32"/>
      <w:szCs w:val="32"/>
      <w:lang w:val="en-US" w:eastAsia="zh-CN" w:bidi="ar-SA"/>
    </w:rPr>
  </w:style>
  <w:style w:type="character" w:customStyle="1" w:styleId="37">
    <w:name w:val="font61"/>
    <w:basedOn w:val="27"/>
    <w:qFormat/>
    <w:uiPriority w:val="0"/>
    <w:rPr>
      <w:rFonts w:hint="default" w:ascii="Times New Roman" w:hAnsi="Times New Roman" w:cs="Times New Roman"/>
      <w:color w:val="000000"/>
      <w:sz w:val="16"/>
      <w:szCs w:val="16"/>
      <w:u w:val="none"/>
    </w:rPr>
  </w:style>
  <w:style w:type="character" w:customStyle="1" w:styleId="38">
    <w:name w:val="font41"/>
    <w:basedOn w:val="27"/>
    <w:qFormat/>
    <w:uiPriority w:val="0"/>
    <w:rPr>
      <w:rFonts w:hint="eastAsia" w:ascii="宋体" w:hAnsi="宋体" w:eastAsia="宋体" w:cs="宋体"/>
      <w:color w:val="000000"/>
      <w:sz w:val="16"/>
      <w:szCs w:val="16"/>
      <w:u w:val="none"/>
    </w:rPr>
  </w:style>
  <w:style w:type="character" w:customStyle="1" w:styleId="39">
    <w:name w:val="标题 9 Char"/>
    <w:link w:val="14"/>
    <w:qFormat/>
    <w:uiPriority w:val="0"/>
    <w:rPr>
      <w:rFonts w:ascii="Arial" w:hAnsi="Arial" w:eastAsia="黑体"/>
      <w:kern w:val="2"/>
      <w:sz w:val="21"/>
      <w:szCs w:val="21"/>
      <w:lang w:val="en-US" w:eastAsia="zh-CN" w:bidi="ar-SA"/>
    </w:rPr>
  </w:style>
  <w:style w:type="character" w:customStyle="1" w:styleId="40">
    <w:name w:val="font01"/>
    <w:basedOn w:val="27"/>
    <w:qFormat/>
    <w:uiPriority w:val="0"/>
    <w:rPr>
      <w:rFonts w:hint="default" w:ascii="Times New Roman" w:hAnsi="Times New Roman" w:cs="Times New Roman"/>
      <w:color w:val="000000"/>
      <w:sz w:val="16"/>
      <w:szCs w:val="16"/>
      <w:u w:val="none"/>
    </w:rPr>
  </w:style>
  <w:style w:type="character" w:customStyle="1" w:styleId="41">
    <w:name w:val="标题 5 Char"/>
    <w:link w:val="10"/>
    <w:qFormat/>
    <w:uiPriority w:val="0"/>
    <w:rPr>
      <w:rFonts w:eastAsia="宋体"/>
      <w:b/>
      <w:bCs/>
      <w:kern w:val="2"/>
      <w:sz w:val="28"/>
      <w:szCs w:val="28"/>
      <w:lang w:val="en-US" w:eastAsia="zh-CN" w:bidi="ar-SA"/>
    </w:rPr>
  </w:style>
  <w:style w:type="character" w:customStyle="1" w:styleId="42">
    <w:name w:val="font131"/>
    <w:basedOn w:val="27"/>
    <w:qFormat/>
    <w:uiPriority w:val="0"/>
    <w:rPr>
      <w:rFonts w:hint="eastAsia" w:ascii="宋体" w:hAnsi="宋体" w:eastAsia="宋体" w:cs="宋体"/>
      <w:color w:val="000000"/>
      <w:sz w:val="16"/>
      <w:szCs w:val="16"/>
      <w:u w:val="none"/>
    </w:rPr>
  </w:style>
  <w:style w:type="character" w:customStyle="1" w:styleId="43">
    <w:name w:val="font51"/>
    <w:basedOn w:val="27"/>
    <w:qFormat/>
    <w:uiPriority w:val="0"/>
    <w:rPr>
      <w:rFonts w:hint="default" w:ascii="Times New Roman" w:hAnsi="Times New Roman" w:cs="Times New Roman"/>
      <w:color w:val="000000"/>
      <w:sz w:val="16"/>
      <w:szCs w:val="16"/>
      <w:u w:val="none"/>
    </w:rPr>
  </w:style>
  <w:style w:type="character" w:customStyle="1" w:styleId="44">
    <w:name w:val="标题 6 Char"/>
    <w:link w:val="11"/>
    <w:qFormat/>
    <w:uiPriority w:val="0"/>
    <w:rPr>
      <w:rFonts w:ascii="Arial" w:hAnsi="Arial" w:eastAsia="黑体"/>
      <w:b/>
      <w:bCs/>
      <w:kern w:val="2"/>
      <w:sz w:val="24"/>
      <w:szCs w:val="24"/>
      <w:lang w:val="en-US" w:eastAsia="zh-CN" w:bidi="ar-SA"/>
    </w:rPr>
  </w:style>
  <w:style w:type="character" w:customStyle="1" w:styleId="45">
    <w:name w:val="font71"/>
    <w:basedOn w:val="27"/>
    <w:qFormat/>
    <w:uiPriority w:val="0"/>
    <w:rPr>
      <w:rFonts w:hint="eastAsia" w:ascii="宋体" w:hAnsi="宋体" w:eastAsia="宋体" w:cs="宋体"/>
      <w:color w:val="000000"/>
      <w:sz w:val="16"/>
      <w:szCs w:val="16"/>
      <w:u w:val="none"/>
    </w:rPr>
  </w:style>
  <w:style w:type="character" w:customStyle="1" w:styleId="46">
    <w:name w:val="Heading 2 Char"/>
    <w:qFormat/>
    <w:locked/>
    <w:uiPriority w:val="0"/>
    <w:rPr>
      <w:rFonts w:ascii="Cambria" w:hAnsi="Cambria" w:eastAsia="宋体" w:cs="Times New Roman"/>
      <w:b/>
      <w:bCs/>
      <w:sz w:val="32"/>
      <w:szCs w:val="32"/>
    </w:rPr>
  </w:style>
  <w:style w:type="character" w:customStyle="1" w:styleId="47">
    <w:name w:val="标题 8 Char"/>
    <w:link w:val="13"/>
    <w:qFormat/>
    <w:uiPriority w:val="0"/>
    <w:rPr>
      <w:rFonts w:ascii="Arial" w:hAnsi="Arial" w:eastAsia="黑体"/>
      <w:kern w:val="2"/>
      <w:sz w:val="24"/>
      <w:szCs w:val="24"/>
      <w:lang w:val="en-US" w:eastAsia="zh-CN" w:bidi="ar-SA"/>
    </w:rPr>
  </w:style>
  <w:style w:type="character" w:customStyle="1" w:styleId="48">
    <w:name w:val="apple-converted-space"/>
    <w:qFormat/>
    <w:uiPriority w:val="0"/>
    <w:rPr>
      <w:rFonts w:cs="Times New Roman"/>
    </w:rPr>
  </w:style>
  <w:style w:type="character" w:customStyle="1" w:styleId="49">
    <w:name w:val="font91"/>
    <w:basedOn w:val="27"/>
    <w:qFormat/>
    <w:uiPriority w:val="0"/>
    <w:rPr>
      <w:rFonts w:hint="default" w:ascii="Times New Roman" w:hAnsi="Times New Roman" w:cs="Times New Roman"/>
      <w:color w:val="000000"/>
      <w:sz w:val="16"/>
      <w:szCs w:val="16"/>
      <w:u w:val="none"/>
    </w:rPr>
  </w:style>
  <w:style w:type="character" w:customStyle="1" w:styleId="50">
    <w:name w:val="批注框文本 Char"/>
    <w:link w:val="19"/>
    <w:qFormat/>
    <w:uiPriority w:val="0"/>
    <w:rPr>
      <w:rFonts w:eastAsia="宋体"/>
      <w:kern w:val="2"/>
      <w:sz w:val="18"/>
      <w:szCs w:val="18"/>
      <w:lang w:val="en-US" w:eastAsia="zh-CN" w:bidi="ar-SA"/>
    </w:rPr>
  </w:style>
  <w:style w:type="character" w:customStyle="1" w:styleId="51">
    <w:name w:val="hover23"/>
    <w:basedOn w:val="27"/>
    <w:qFormat/>
    <w:uiPriority w:val="0"/>
    <w:rPr>
      <w:color w:val="000000"/>
      <w:shd w:val="clear" w:color="auto" w:fill="FFFFFF"/>
    </w:rPr>
  </w:style>
  <w:style w:type="character" w:customStyle="1" w:styleId="52">
    <w:name w:val="font21"/>
    <w:basedOn w:val="27"/>
    <w:qFormat/>
    <w:uiPriority w:val="0"/>
    <w:rPr>
      <w:rFonts w:hint="eastAsia" w:ascii="宋体" w:hAnsi="宋体" w:eastAsia="宋体" w:cs="宋体"/>
      <w:color w:val="000000"/>
      <w:sz w:val="16"/>
      <w:szCs w:val="16"/>
      <w:u w:val="none"/>
    </w:rPr>
  </w:style>
  <w:style w:type="character" w:customStyle="1" w:styleId="53">
    <w:name w:val="wx-space1"/>
    <w:basedOn w:val="27"/>
    <w:qFormat/>
    <w:uiPriority w:val="0"/>
  </w:style>
  <w:style w:type="character" w:customStyle="1" w:styleId="54">
    <w:name w:val="标题 3 Char"/>
    <w:link w:val="8"/>
    <w:qFormat/>
    <w:uiPriority w:val="0"/>
    <w:rPr>
      <w:rFonts w:eastAsia="宋体"/>
      <w:b/>
      <w:bCs/>
      <w:kern w:val="2"/>
      <w:sz w:val="32"/>
      <w:szCs w:val="32"/>
      <w:lang w:val="en-US" w:eastAsia="zh-CN" w:bidi="ar-SA"/>
    </w:rPr>
  </w:style>
  <w:style w:type="character" w:customStyle="1" w:styleId="55">
    <w:name w:val="标题 7 Char"/>
    <w:link w:val="12"/>
    <w:qFormat/>
    <w:uiPriority w:val="0"/>
    <w:rPr>
      <w:rFonts w:eastAsia="宋体"/>
      <w:b/>
      <w:bCs/>
      <w:kern w:val="2"/>
      <w:sz w:val="24"/>
      <w:szCs w:val="24"/>
      <w:lang w:val="en-US" w:eastAsia="zh-CN" w:bidi="ar-SA"/>
    </w:rPr>
  </w:style>
  <w:style w:type="character" w:customStyle="1" w:styleId="56">
    <w:name w:val="wx-space"/>
    <w:basedOn w:val="27"/>
    <w:qFormat/>
    <w:uiPriority w:val="0"/>
  </w:style>
  <w:style w:type="character" w:customStyle="1" w:styleId="57">
    <w:name w:val="标题 1 Char"/>
    <w:link w:val="6"/>
    <w:qFormat/>
    <w:uiPriority w:val="0"/>
    <w:rPr>
      <w:rFonts w:eastAsia="宋体"/>
      <w:b/>
      <w:bCs/>
      <w:kern w:val="44"/>
      <w:sz w:val="44"/>
      <w:szCs w:val="44"/>
      <w:lang w:val="en-US" w:eastAsia="zh-CN" w:bidi="ar-SA"/>
    </w:rPr>
  </w:style>
  <w:style w:type="character" w:customStyle="1" w:styleId="58">
    <w:name w:val="批注主题 Char"/>
    <w:link w:val="23"/>
    <w:qFormat/>
    <w:uiPriority w:val="0"/>
    <w:rPr>
      <w:rFonts w:eastAsia="宋体"/>
      <w:b/>
      <w:bCs/>
      <w:kern w:val="2"/>
      <w:sz w:val="21"/>
      <w:szCs w:val="24"/>
      <w:lang w:val="en-US" w:eastAsia="zh-CN" w:bidi="ar-SA"/>
    </w:rPr>
  </w:style>
  <w:style w:type="character" w:customStyle="1" w:styleId="59">
    <w:name w:val="批注文字 Char"/>
    <w:link w:val="15"/>
    <w:qFormat/>
    <w:uiPriority w:val="0"/>
    <w:rPr>
      <w:rFonts w:eastAsia="宋体"/>
      <w:kern w:val="2"/>
      <w:sz w:val="21"/>
      <w:szCs w:val="24"/>
      <w:lang w:val="en-US" w:eastAsia="zh-CN" w:bidi="ar-SA"/>
    </w:rPr>
  </w:style>
  <w:style w:type="character" w:customStyle="1" w:styleId="60">
    <w:name w:val="hover25"/>
    <w:basedOn w:val="27"/>
    <w:qFormat/>
    <w:uiPriority w:val="0"/>
    <w:rPr>
      <w:color w:val="000000"/>
      <w:shd w:val="clear" w:color="auto" w:fill="FFFFFF"/>
    </w:rPr>
  </w:style>
  <w:style w:type="paragraph" w:customStyle="1" w:styleId="61">
    <w:name w:val="1111"/>
    <w:basedOn w:val="1"/>
    <w:qFormat/>
    <w:uiPriority w:val="0"/>
    <w:pPr>
      <w:spacing w:line="360" w:lineRule="auto"/>
      <w:ind w:firstLine="200" w:firstLineChars="200"/>
    </w:pPr>
    <w:rPr>
      <w:rFonts w:eastAsia="仿宋_GB2312"/>
      <w:sz w:val="24"/>
    </w:rPr>
  </w:style>
  <w:style w:type="paragraph" w:styleId="62">
    <w:name w:val="List Paragraph"/>
    <w:basedOn w:val="1"/>
    <w:qFormat/>
    <w:uiPriority w:val="0"/>
    <w:pPr>
      <w:ind w:firstLine="420" w:firstLineChars="200"/>
    </w:pPr>
  </w:style>
  <w:style w:type="character" w:customStyle="1" w:styleId="63">
    <w:name w:val="font31"/>
    <w:basedOn w:val="27"/>
    <w:qFormat/>
    <w:uiPriority w:val="0"/>
    <w:rPr>
      <w:rFonts w:hint="default" w:ascii="Times New Roman" w:hAnsi="Times New Roman" w:cs="Times New Roman"/>
      <w:color w:val="000000"/>
      <w:sz w:val="21"/>
      <w:szCs w:val="21"/>
      <w:u w:val="none"/>
    </w:rPr>
  </w:style>
  <w:style w:type="character" w:customStyle="1" w:styleId="64">
    <w:name w:val="font11"/>
    <w:basedOn w:val="27"/>
    <w:qFormat/>
    <w:uiPriority w:val="0"/>
    <w:rPr>
      <w:rFonts w:hint="eastAsia" w:ascii="宋体" w:hAnsi="宋体" w:eastAsia="宋体" w:cs="宋体"/>
      <w:color w:val="000000"/>
      <w:sz w:val="24"/>
      <w:szCs w:val="24"/>
      <w:u w:val="none"/>
    </w:rPr>
  </w:style>
  <w:style w:type="paragraph" w:customStyle="1" w:styleId="65">
    <w:name w:val="正文首行缩进1"/>
    <w:basedOn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7999</Words>
  <Characters>8685</Characters>
  <Lines>91</Lines>
  <Paragraphs>25</Paragraphs>
  <TotalTime>27</TotalTime>
  <ScaleCrop>false</ScaleCrop>
  <LinksUpToDate>false</LinksUpToDate>
  <CharactersWithSpaces>8806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2017-09-01T16:20:00Z</dcterms:created>
  <dc:creator>Administrator</dc:creator>
  <cp:lastModifiedBy>明明</cp:lastModifiedBy>
  <cp:lastPrinted>2018-11-17T19:43:00Z</cp:lastPrinted>
  <dcterms:modified xsi:type="dcterms:W3CDTF">2023-11-20T06:47:39Z</dcterms:modified>
  <dc:title>岳阳市2012-2017年</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DCECBF37DEE44C03A121C2FB07D0F48D</vt:lpwstr>
  </property>
</Properties>
</file>