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hd w:val="clear" w:color="auto" w:fill="auto"/>
        <w:tabs>
          <w:tab w:val="left" w:pos="13734"/>
        </w:tabs>
        <w:kinsoku/>
        <w:wordWrap/>
        <w:overflowPunct/>
        <w:topLinePunct w:val="0"/>
        <w:autoSpaceDE/>
        <w:autoSpaceDN/>
        <w:bidi w:val="0"/>
        <w:spacing w:before="0" w:after="60" w:line="240" w:lineRule="auto"/>
        <w:ind w:right="0"/>
        <w:jc w:val="left"/>
        <w:rPr>
          <w:rFonts w:hint="default" w:ascii="仿宋_GB2312" w:hAnsi="仿宋_GB2312" w:eastAsia="仿宋_GB2312" w:cs="仿宋_GB2312"/>
          <w:color w:val="000000"/>
          <w:spacing w:val="-6"/>
          <w:w w:val="100"/>
          <w:kern w:val="2"/>
          <w:position w:val="0"/>
          <w:sz w:val="32"/>
          <w:szCs w:val="32"/>
          <w:u w:val="none"/>
          <w:shd w:val="clear"/>
          <w:lang w:val="en-US" w:eastAsia="zh-CN" w:bidi="ar-SA"/>
        </w:rPr>
      </w:pPr>
      <w:bookmarkStart w:id="0" w:name="bookmark24"/>
      <w:bookmarkStart w:id="1" w:name="bookmark23"/>
      <w:bookmarkStart w:id="2" w:name="bookmark22"/>
      <w:r>
        <w:rPr>
          <w:rFonts w:hint="eastAsia" w:ascii="仿宋_GB2312" w:hAnsi="仿宋_GB2312" w:eastAsia="仿宋_GB2312" w:cs="仿宋_GB2312"/>
          <w:color w:val="000000"/>
          <w:spacing w:val="-6"/>
          <w:w w:val="100"/>
          <w:kern w:val="2"/>
          <w:position w:val="0"/>
          <w:sz w:val="32"/>
          <w:szCs w:val="32"/>
          <w:u w:val="none"/>
          <w:shd w:val="clear"/>
          <w:lang w:val="en-US" w:eastAsia="zh-CN" w:bidi="ar-SA"/>
        </w:rPr>
        <w:t>附件1</w:t>
      </w:r>
    </w:p>
    <w:p>
      <w:pPr>
        <w:pStyle w:val="10"/>
        <w:keepNext w:val="0"/>
        <w:keepLines w:val="0"/>
        <w:pageBreakBefore w:val="0"/>
        <w:widowControl w:val="0"/>
        <w:shd w:val="clear" w:color="auto" w:fill="auto"/>
        <w:tabs>
          <w:tab w:val="left" w:pos="13734"/>
        </w:tabs>
        <w:kinsoku/>
        <w:wordWrap/>
        <w:overflowPunct/>
        <w:topLinePunct w:val="0"/>
        <w:autoSpaceDE/>
        <w:autoSpaceDN/>
        <w:bidi w:val="0"/>
        <w:spacing w:before="0" w:after="60" w:line="240" w:lineRule="auto"/>
        <w:ind w:right="0"/>
        <w:jc w:val="center"/>
        <w:rPr>
          <w:rFonts w:hint="eastAsia"/>
          <w:b/>
          <w:bCs/>
          <w:color w:val="000000"/>
          <w:spacing w:val="0"/>
          <w:w w:val="100"/>
          <w:position w:val="0"/>
          <w:sz w:val="28"/>
          <w:szCs w:val="28"/>
          <w:lang w:val="en-US" w:eastAsia="zh-CN"/>
        </w:rPr>
      </w:pPr>
      <w:r>
        <w:rPr>
          <w:rFonts w:hint="eastAsia" w:ascii="宋体" w:hAnsi="宋体" w:eastAsia="宋体" w:cs="宋体"/>
          <w:b/>
          <w:bCs/>
          <w:color w:val="000000"/>
          <w:spacing w:val="-6"/>
          <w:w w:val="100"/>
          <w:kern w:val="2"/>
          <w:position w:val="0"/>
          <w:sz w:val="44"/>
          <w:szCs w:val="44"/>
          <w:u w:val="none"/>
          <w:shd w:val="clear"/>
          <w:lang w:val="en-US" w:eastAsia="zh-CN" w:bidi="ar-SA"/>
        </w:rPr>
        <w:t>二级医院实施基本药物制度绩效评价指标</w:t>
      </w:r>
      <w:r>
        <w:rPr>
          <w:rFonts w:hint="eastAsia"/>
          <w:b/>
          <w:bCs/>
          <w:color w:val="000000"/>
          <w:spacing w:val="0"/>
          <w:w w:val="100"/>
          <w:position w:val="0"/>
          <w:sz w:val="28"/>
          <w:szCs w:val="28"/>
          <w:lang w:val="en-US" w:eastAsia="zh-CN"/>
        </w:rPr>
        <w:t xml:space="preserve">                                                                    </w:t>
      </w:r>
    </w:p>
    <w:p>
      <w:pPr>
        <w:pStyle w:val="10"/>
        <w:keepNext w:val="0"/>
        <w:keepLines w:val="0"/>
        <w:pageBreakBefore w:val="0"/>
        <w:widowControl w:val="0"/>
        <w:shd w:val="clear" w:color="auto" w:fill="auto"/>
        <w:tabs>
          <w:tab w:val="left" w:pos="13734"/>
        </w:tabs>
        <w:kinsoku/>
        <w:wordWrap/>
        <w:overflowPunct/>
        <w:topLinePunct w:val="0"/>
        <w:autoSpaceDE/>
        <w:autoSpaceDN/>
        <w:bidi w:val="0"/>
        <w:spacing w:before="0" w:after="60" w:line="240" w:lineRule="auto"/>
        <w:ind w:right="0"/>
        <w:jc w:val="center"/>
        <w:rPr>
          <w:rFonts w:hint="default" w:ascii="仿宋_GB2312" w:hAnsi="仿宋_GB2312" w:eastAsia="仿宋_GB2312" w:cs="仿宋_GB2312"/>
          <w:b w:val="0"/>
          <w:bCs w:val="0"/>
          <w:color w:val="000000"/>
          <w:spacing w:val="0"/>
          <w:w w:val="100"/>
          <w:position w:val="0"/>
          <w:sz w:val="28"/>
          <w:szCs w:val="28"/>
          <w:u w:val="none"/>
          <w:shd w:val="clear" w:color="auto" w:fill="auto"/>
          <w:lang w:val="en-US" w:eastAsia="zh-CN" w:bidi="zh-TW"/>
        </w:rPr>
      </w:pPr>
      <w:r>
        <w:rPr>
          <w:rFonts w:hint="eastAsia"/>
          <w:b/>
          <w:bCs/>
          <w:color w:val="000000"/>
          <w:spacing w:val="0"/>
          <w:w w:val="100"/>
          <w:position w:val="0"/>
          <w:sz w:val="28"/>
          <w:szCs w:val="28"/>
          <w:lang w:val="en-US" w:eastAsia="zh-CN"/>
        </w:rPr>
        <w:t xml:space="preserve">                          </w:t>
      </w:r>
      <w:r>
        <w:rPr>
          <w:rFonts w:hint="eastAsia" w:ascii="仿宋_GB2312" w:hAnsi="仿宋_GB2312" w:eastAsia="仿宋_GB2312" w:cs="仿宋_GB2312"/>
          <w:color w:val="000000"/>
          <w:spacing w:val="-6"/>
          <w:w w:val="100"/>
          <w:kern w:val="2"/>
          <w:position w:val="0"/>
          <w:sz w:val="32"/>
          <w:szCs w:val="32"/>
          <w:u w:val="none"/>
          <w:shd w:val="clear"/>
          <w:lang w:val="en-US" w:eastAsia="zh-CN" w:bidi="ar-SA"/>
        </w:rPr>
        <w:t>单位：</w:t>
      </w:r>
    </w:p>
    <w:tbl>
      <w:tblPr>
        <w:tblStyle w:val="15"/>
        <w:tblW w:w="14805" w:type="dxa"/>
        <w:tblInd w:w="-3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1125"/>
        <w:gridCol w:w="6750"/>
        <w:gridCol w:w="4830"/>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665" w:type="dxa"/>
            <w:gridSpan w:val="2"/>
            <w:vAlign w:val="center"/>
          </w:tcPr>
          <w:p>
            <w:pPr>
              <w:pStyle w:val="14"/>
              <w:keepNext w:val="0"/>
              <w:keepLines w:val="0"/>
              <w:pageBreakBefore w:val="0"/>
              <w:widowControl w:val="0"/>
              <w:kinsoku/>
              <w:wordWrap/>
              <w:overflowPunct/>
              <w:topLinePunct w:val="0"/>
              <w:autoSpaceDE/>
              <w:autoSpaceDN/>
              <w:bidi w:val="0"/>
              <w:spacing w:before="29" w:line="204" w:lineRule="auto"/>
              <w:ind w:left="68"/>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7"/>
                <w:sz w:val="30"/>
                <w:szCs w:val="30"/>
              </w:rPr>
              <w:t>评价项目</w:t>
            </w:r>
          </w:p>
        </w:tc>
        <w:tc>
          <w:tcPr>
            <w:tcW w:w="6750" w:type="dxa"/>
            <w:vAlign w:val="center"/>
          </w:tcPr>
          <w:p>
            <w:pPr>
              <w:pStyle w:val="14"/>
              <w:keepNext w:val="0"/>
              <w:keepLines w:val="0"/>
              <w:pageBreakBefore w:val="0"/>
              <w:widowControl w:val="0"/>
              <w:kinsoku/>
              <w:wordWrap/>
              <w:overflowPunct/>
              <w:topLinePunct w:val="0"/>
              <w:autoSpaceDE/>
              <w:autoSpaceDN/>
              <w:bidi w:val="0"/>
              <w:spacing w:before="29" w:line="204" w:lineRule="auto"/>
              <w:ind w:left="85"/>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5"/>
                <w:sz w:val="30"/>
                <w:szCs w:val="30"/>
              </w:rPr>
              <w:t>评价方法</w:t>
            </w:r>
          </w:p>
        </w:tc>
        <w:tc>
          <w:tcPr>
            <w:tcW w:w="4830" w:type="dxa"/>
            <w:vAlign w:val="center"/>
          </w:tcPr>
          <w:p>
            <w:pPr>
              <w:pStyle w:val="14"/>
              <w:keepNext w:val="0"/>
              <w:keepLines w:val="0"/>
              <w:pageBreakBefore w:val="0"/>
              <w:widowControl w:val="0"/>
              <w:kinsoku/>
              <w:wordWrap/>
              <w:overflowPunct/>
              <w:topLinePunct w:val="0"/>
              <w:autoSpaceDE/>
              <w:autoSpaceDN/>
              <w:bidi w:val="0"/>
              <w:spacing w:before="29" w:line="204" w:lineRule="auto"/>
              <w:ind w:left="130"/>
              <w:jc w:val="center"/>
              <w:rPr>
                <w:rFonts w:hint="eastAsia" w:ascii="仿宋_GB2312" w:hAnsi="仿宋_GB2312" w:eastAsia="仿宋_GB2312" w:cs="仿宋_GB2312"/>
                <w:b/>
                <w:bCs/>
                <w:sz w:val="30"/>
                <w:szCs w:val="30"/>
              </w:rPr>
            </w:pPr>
            <w:r>
              <w:rPr>
                <w:rFonts w:hint="eastAsia" w:ascii="仿宋_GB2312" w:hAnsi="仿宋_GB2312" w:eastAsia="仿宋_GB2312" w:cs="仿宋_GB2312"/>
                <w:b/>
                <w:bCs/>
                <w:spacing w:val="-5"/>
                <w:sz w:val="30"/>
                <w:szCs w:val="30"/>
              </w:rPr>
              <w:t>评价指标</w:t>
            </w:r>
          </w:p>
        </w:tc>
        <w:tc>
          <w:tcPr>
            <w:tcW w:w="1560" w:type="dxa"/>
            <w:vAlign w:val="center"/>
          </w:tcPr>
          <w:p>
            <w:pPr>
              <w:pStyle w:val="14"/>
              <w:keepNext w:val="0"/>
              <w:keepLines w:val="0"/>
              <w:pageBreakBefore w:val="0"/>
              <w:widowControl w:val="0"/>
              <w:kinsoku/>
              <w:wordWrap/>
              <w:overflowPunct/>
              <w:topLinePunct w:val="0"/>
              <w:autoSpaceDE/>
              <w:autoSpaceDN/>
              <w:bidi w:val="0"/>
              <w:spacing w:before="29" w:line="204" w:lineRule="auto"/>
              <w:ind w:left="130"/>
              <w:jc w:val="center"/>
              <w:rPr>
                <w:rFonts w:hint="eastAsia" w:ascii="仿宋_GB2312" w:hAnsi="仿宋_GB2312" w:eastAsia="仿宋_GB2312" w:cs="仿宋_GB2312"/>
                <w:b/>
                <w:bCs/>
                <w:spacing w:val="-5"/>
                <w:sz w:val="30"/>
                <w:szCs w:val="30"/>
                <w:lang w:val="en-US" w:eastAsia="zh-CN"/>
              </w:rPr>
            </w:pPr>
            <w:r>
              <w:rPr>
                <w:rFonts w:hint="eastAsia" w:ascii="仿宋_GB2312" w:hAnsi="仿宋_GB2312" w:eastAsia="仿宋_GB2312" w:cs="仿宋_GB2312"/>
                <w:b/>
                <w:bCs/>
                <w:spacing w:val="-5"/>
                <w:sz w:val="30"/>
                <w:szCs w:val="30"/>
                <w:lang w:val="en-US"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优先</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配备</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使用</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基本</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rPr>
              <w:t>药物</w:t>
            </w:r>
          </w:p>
        </w:tc>
        <w:tc>
          <w:tcPr>
            <w:tcW w:w="1125"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基本药物</w:t>
            </w:r>
            <w:r>
              <w:rPr>
                <w:rFonts w:hint="eastAsia" w:ascii="仿宋_GB2312" w:hAnsi="仿宋_GB2312" w:eastAsia="仿宋_GB2312" w:cs="仿宋_GB2312"/>
                <w:spacing w:val="0"/>
                <w:position w:val="0"/>
                <w:sz w:val="21"/>
                <w:szCs w:val="21"/>
                <w:lang w:eastAsia="zh-CN"/>
              </w:rPr>
              <w:t>配备</w:t>
            </w:r>
            <w:r>
              <w:rPr>
                <w:rFonts w:hint="eastAsia" w:ascii="仿宋_GB2312" w:hAnsi="仿宋_GB2312" w:eastAsia="仿宋_GB2312" w:cs="仿宋_GB2312"/>
                <w:spacing w:val="0"/>
                <w:position w:val="0"/>
                <w:sz w:val="21"/>
                <w:szCs w:val="21"/>
              </w:rPr>
              <w:t>比例</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lang w:eastAsia="zh-CN"/>
              </w:rPr>
              <w:t>（</w:t>
            </w:r>
            <w:r>
              <w:rPr>
                <w:rFonts w:hint="eastAsia" w:ascii="仿宋_GB2312" w:hAnsi="仿宋_GB2312" w:eastAsia="仿宋_GB2312" w:cs="仿宋_GB2312"/>
                <w:spacing w:val="0"/>
                <w:position w:val="0"/>
                <w:sz w:val="21"/>
                <w:szCs w:val="21"/>
              </w:rPr>
              <w:t>25分</w:t>
            </w:r>
            <w:r>
              <w:rPr>
                <w:rFonts w:hint="eastAsia" w:ascii="仿宋_GB2312" w:hAnsi="仿宋_GB2312" w:eastAsia="仿宋_GB2312" w:cs="仿宋_GB2312"/>
                <w:spacing w:val="0"/>
                <w:position w:val="0"/>
                <w:sz w:val="21"/>
                <w:szCs w:val="21"/>
                <w:lang w:eastAsia="zh-CN"/>
              </w:rPr>
              <w:t>）</w:t>
            </w:r>
          </w:p>
        </w:tc>
        <w:tc>
          <w:tcPr>
            <w:tcW w:w="6750" w:type="dxa"/>
            <w:vMerge w:val="restart"/>
            <w:tcBorders>
              <w:bottom w:val="nil"/>
            </w:tcBorders>
            <w:vAlign w:val="center"/>
          </w:tcPr>
          <w:p>
            <w:pPr>
              <w:pStyle w:val="14"/>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二级医院基本药物采购金额占药品采购总金额比例应达到规定比例，每低1个百分点扣4分，最多扣20分。二</w:t>
            </w:r>
            <w:r>
              <w:rPr>
                <w:rFonts w:hint="eastAsia" w:ascii="仿宋_GB2312" w:hAnsi="仿宋_GB2312" w:eastAsia="仿宋_GB2312" w:cs="仿宋_GB2312"/>
                <w:spacing w:val="2"/>
                <w:sz w:val="21"/>
                <w:szCs w:val="21"/>
              </w:rPr>
              <w:t>级医院基本药物采购品种数占药品采购总品种数达到规</w:t>
            </w:r>
            <w:r>
              <w:rPr>
                <w:rFonts w:hint="eastAsia" w:ascii="仿宋_GB2312" w:hAnsi="仿宋_GB2312" w:eastAsia="仿宋_GB2312" w:cs="仿宋_GB2312"/>
                <w:sz w:val="21"/>
                <w:szCs w:val="21"/>
              </w:rPr>
              <w:t>定比例，每低1个百分点扣1分，最多扣5分。</w:t>
            </w: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年度药品采购总金额</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年度基本药物采购金额</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年度基本药物采购金额比</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年度药品采购总品种数</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年度基本药物采购品种数</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年度基本药物采购品种比</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restart"/>
            <w:tcBorders>
              <w:bottom w:val="nil"/>
            </w:tcBorders>
            <w:vAlign w:val="center"/>
          </w:tcPr>
          <w:p>
            <w:pPr>
              <w:pStyle w:val="14"/>
              <w:keepNext w:val="0"/>
              <w:keepLines w:val="0"/>
              <w:pageBreakBefore w:val="0"/>
              <w:widowControl w:val="0"/>
              <w:kinsoku/>
              <w:wordWrap/>
              <w:overflowPunct/>
              <w:topLinePunct w:val="0"/>
              <w:autoSpaceDE/>
              <w:autoSpaceDN/>
              <w:bidi w:val="0"/>
              <w:spacing w:before="10" w:line="209" w:lineRule="auto"/>
              <w:ind w:left="130" w:right="140" w:firstLine="30"/>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基本药物日常管理制度</w:t>
            </w:r>
          </w:p>
          <w:p>
            <w:pPr>
              <w:pStyle w:val="14"/>
              <w:keepNext w:val="0"/>
              <w:keepLines w:val="0"/>
              <w:pageBreakBefore w:val="0"/>
              <w:widowControl w:val="0"/>
              <w:kinsoku/>
              <w:wordWrap/>
              <w:overflowPunct/>
              <w:topLinePunct w:val="0"/>
              <w:autoSpaceDE/>
              <w:autoSpaceDN/>
              <w:bidi w:val="0"/>
              <w:spacing w:before="10" w:line="209" w:lineRule="auto"/>
              <w:ind w:left="130" w:right="140" w:firstLine="3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lang w:eastAsia="zh-CN"/>
              </w:rPr>
              <w:t>（</w:t>
            </w:r>
            <w:r>
              <w:rPr>
                <w:rFonts w:hint="eastAsia" w:ascii="仿宋_GB2312" w:hAnsi="仿宋_GB2312" w:eastAsia="仿宋_GB2312" w:cs="仿宋_GB2312"/>
                <w:spacing w:val="0"/>
                <w:position w:val="0"/>
                <w:sz w:val="21"/>
                <w:szCs w:val="21"/>
              </w:rPr>
              <w:t>10分</w:t>
            </w:r>
            <w:r>
              <w:rPr>
                <w:rFonts w:hint="eastAsia" w:ascii="仿宋_GB2312" w:hAnsi="仿宋_GB2312" w:eastAsia="仿宋_GB2312" w:cs="仿宋_GB2312"/>
                <w:spacing w:val="0"/>
                <w:position w:val="0"/>
                <w:sz w:val="21"/>
                <w:szCs w:val="21"/>
                <w:lang w:eastAsia="zh-CN"/>
              </w:rPr>
              <w:t>）</w:t>
            </w:r>
          </w:p>
        </w:tc>
        <w:tc>
          <w:tcPr>
            <w:tcW w:w="6750" w:type="dxa"/>
            <w:vMerge w:val="restart"/>
            <w:tcBorders>
              <w:bottom w:val="nil"/>
            </w:tcBorders>
            <w:vAlign w:val="center"/>
          </w:tcPr>
          <w:p>
            <w:pPr>
              <w:pStyle w:val="14"/>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医疗机构应制定基本药物临床应用管理办法，科学设置临</w:t>
            </w:r>
            <w:r>
              <w:rPr>
                <w:rFonts w:hint="eastAsia" w:ascii="仿宋_GB2312" w:hAnsi="仿宋_GB2312" w:eastAsia="仿宋_GB2312" w:cs="仿宋_GB2312"/>
                <w:spacing w:val="-1"/>
                <w:sz w:val="21"/>
                <w:szCs w:val="21"/>
              </w:rPr>
              <w:t>床科室基本药物使用指标，定期公布基本药物使用占比情</w:t>
            </w:r>
            <w:r>
              <w:rPr>
                <w:rFonts w:hint="eastAsia" w:ascii="仿宋_GB2312" w:hAnsi="仿宋_GB2312" w:eastAsia="仿宋_GB2312" w:cs="仿宋_GB2312"/>
                <w:sz w:val="21"/>
                <w:szCs w:val="21"/>
              </w:rPr>
              <w:t>况，将基本药物在本机构信息系统内进行标识，未完成的</w:t>
            </w:r>
            <w:r>
              <w:rPr>
                <w:rFonts w:hint="eastAsia" w:ascii="仿宋_GB2312" w:hAnsi="仿宋_GB2312" w:eastAsia="仿宋_GB2312" w:cs="仿宋_GB2312"/>
                <w:spacing w:val="5"/>
                <w:sz w:val="21"/>
                <w:szCs w:val="21"/>
              </w:rPr>
              <w:t>每项扣5分，最多扣10分。</w:t>
            </w: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是否制定基本药物临床应用管理办法</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是否科学设置临床科室基本药物使用指标</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是否定期公布基本药物使用占比情况</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是否将基本药物在本机构信息系统内进行标识</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Align w:val="center"/>
          </w:tcPr>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评价制度</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lang w:eastAsia="zh-CN"/>
              </w:rPr>
              <w:t>（</w:t>
            </w:r>
            <w:r>
              <w:rPr>
                <w:rFonts w:hint="eastAsia" w:ascii="仿宋_GB2312" w:hAnsi="仿宋_GB2312" w:eastAsia="仿宋_GB2312" w:cs="仿宋_GB2312"/>
                <w:spacing w:val="0"/>
                <w:position w:val="0"/>
                <w:sz w:val="21"/>
                <w:szCs w:val="21"/>
              </w:rPr>
              <w:t>10分</w:t>
            </w:r>
            <w:r>
              <w:rPr>
                <w:rFonts w:hint="eastAsia" w:ascii="仿宋_GB2312" w:hAnsi="仿宋_GB2312" w:eastAsia="仿宋_GB2312" w:cs="仿宋_GB2312"/>
                <w:spacing w:val="0"/>
                <w:position w:val="0"/>
                <w:sz w:val="21"/>
                <w:szCs w:val="21"/>
                <w:lang w:eastAsia="zh-CN"/>
              </w:rPr>
              <w:t>）</w:t>
            </w:r>
          </w:p>
        </w:tc>
        <w:tc>
          <w:tcPr>
            <w:tcW w:w="6750" w:type="dxa"/>
            <w:vAlign w:val="center"/>
          </w:tcPr>
          <w:p>
            <w:pPr>
              <w:pStyle w:val="14"/>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各医疗机构应将基本药物使用情况列入科室和医务人员</w:t>
            </w:r>
            <w:r>
              <w:rPr>
                <w:rFonts w:hint="eastAsia" w:ascii="仿宋_GB2312" w:hAnsi="仿宋_GB2312" w:eastAsia="仿宋_GB2312" w:cs="仿宋_GB2312"/>
                <w:spacing w:val="-1"/>
                <w:sz w:val="21"/>
                <w:szCs w:val="21"/>
              </w:rPr>
              <w:t>考核重要内容，未列入的扣10分。</w:t>
            </w: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是否将基本药物使用情况列入科室和医务人员考核</w:t>
            </w:r>
            <w:r>
              <w:rPr>
                <w:rFonts w:hint="eastAsia" w:ascii="仿宋_GB2312" w:hAnsi="仿宋_GB2312" w:eastAsia="仿宋_GB2312" w:cs="仿宋_GB2312"/>
                <w:spacing w:val="3"/>
                <w:sz w:val="21"/>
                <w:szCs w:val="21"/>
              </w:rPr>
              <w:t>重要内容</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restart"/>
            <w:vAlign w:val="center"/>
          </w:tcPr>
          <w:p>
            <w:pPr>
              <w:pStyle w:val="14"/>
              <w:keepNext w:val="0"/>
              <w:keepLines w:val="0"/>
              <w:pageBreakBefore w:val="0"/>
              <w:widowControl w:val="0"/>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药事</w:t>
            </w:r>
          </w:p>
          <w:p>
            <w:pPr>
              <w:pStyle w:val="14"/>
              <w:keepNext w:val="0"/>
              <w:keepLines w:val="0"/>
              <w:pageBreakBefore w:val="0"/>
              <w:widowControl w:val="0"/>
              <w:kinsoku/>
              <w:wordWrap/>
              <w:overflowPunct/>
              <w:topLinePunct w:val="0"/>
              <w:autoSpaceDE/>
              <w:autoSpaceDN/>
              <w:bidi w:val="0"/>
              <w:spacing w:before="16" w:line="319"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rPr>
              <w:t>管理</w:t>
            </w:r>
          </w:p>
        </w:tc>
        <w:tc>
          <w:tcPr>
            <w:tcW w:w="1125"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药师服务能力建设</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0"/>
                <w:position w:val="0"/>
                <w:sz w:val="21"/>
                <w:szCs w:val="21"/>
                <w:lang w:eastAsia="zh-CN"/>
              </w:rPr>
              <w:t>（</w:t>
            </w:r>
            <w:r>
              <w:rPr>
                <w:rFonts w:hint="eastAsia" w:ascii="仿宋_GB2312" w:hAnsi="仿宋_GB2312" w:eastAsia="仿宋_GB2312" w:cs="仿宋_GB2312"/>
                <w:spacing w:val="0"/>
                <w:position w:val="0"/>
                <w:sz w:val="21"/>
                <w:szCs w:val="21"/>
              </w:rPr>
              <w:t>5分</w:t>
            </w:r>
            <w:r>
              <w:rPr>
                <w:rFonts w:hint="eastAsia" w:ascii="仿宋_GB2312" w:hAnsi="仿宋_GB2312" w:eastAsia="仿宋_GB2312" w:cs="仿宋_GB2312"/>
                <w:spacing w:val="0"/>
                <w:position w:val="0"/>
                <w:sz w:val="21"/>
                <w:szCs w:val="21"/>
                <w:lang w:eastAsia="zh-CN"/>
              </w:rPr>
              <w:t>）</w:t>
            </w:r>
          </w:p>
        </w:tc>
        <w:tc>
          <w:tcPr>
            <w:tcW w:w="6750" w:type="dxa"/>
            <w:vMerge w:val="restart"/>
            <w:tcBorders>
              <w:bottom w:val="nil"/>
            </w:tcBorders>
            <w:vAlign w:val="center"/>
          </w:tcPr>
          <w:p>
            <w:pPr>
              <w:pStyle w:val="14"/>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医疗机构应对本机构所有药学人员进行药师临床服务能力和</w:t>
            </w:r>
            <w:r>
              <w:rPr>
                <w:rFonts w:hint="eastAsia" w:ascii="仿宋_GB2312" w:hAnsi="仿宋_GB2312" w:eastAsia="仿宋_GB2312" w:cs="仿宋_GB2312"/>
                <w:sz w:val="21"/>
                <w:szCs w:val="21"/>
              </w:rPr>
              <w:t>合理用药培训，药学人员培训率每少1%扣0.2分，最多</w:t>
            </w:r>
            <w:r>
              <w:rPr>
                <w:rFonts w:hint="eastAsia" w:ascii="仿宋_GB2312" w:hAnsi="仿宋_GB2312" w:eastAsia="仿宋_GB2312" w:cs="仿宋_GB2312"/>
                <w:spacing w:val="-1"/>
                <w:sz w:val="21"/>
                <w:szCs w:val="21"/>
              </w:rPr>
              <w:t>扣5</w:t>
            </w:r>
            <w:r>
              <w:rPr>
                <w:rFonts w:hint="eastAsia" w:ascii="仿宋_GB2312" w:hAnsi="仿宋_GB2312" w:eastAsia="仿宋_GB2312" w:cs="仿宋_GB2312"/>
                <w:spacing w:val="-2"/>
                <w:sz w:val="21"/>
                <w:szCs w:val="21"/>
              </w:rPr>
              <w:t>分。医疗机构50%以上药学人员应下临床培养药学临床</w:t>
            </w:r>
            <w:r>
              <w:rPr>
                <w:rFonts w:hint="eastAsia" w:ascii="仿宋_GB2312" w:hAnsi="仿宋_GB2312" w:eastAsia="仿宋_GB2312" w:cs="仿宋_GB2312"/>
                <w:spacing w:val="-3"/>
                <w:sz w:val="21"/>
                <w:szCs w:val="21"/>
              </w:rPr>
              <w:t>服务</w:t>
            </w:r>
            <w:r>
              <w:rPr>
                <w:rFonts w:hint="eastAsia" w:ascii="仿宋_GB2312" w:hAnsi="仿宋_GB2312" w:eastAsia="仿宋_GB2312" w:cs="仿宋_GB2312"/>
                <w:sz w:val="21"/>
                <w:szCs w:val="21"/>
              </w:rPr>
              <w:t>能力</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下临床时间不能少于2个月</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药学</w:t>
            </w:r>
            <w:r>
              <w:rPr>
                <w:rFonts w:hint="eastAsia" w:ascii="仿宋_GB2312" w:hAnsi="仿宋_GB2312" w:eastAsia="仿宋_GB2312" w:cs="仿宋_GB2312"/>
                <w:spacing w:val="-1"/>
                <w:sz w:val="21"/>
                <w:szCs w:val="21"/>
              </w:rPr>
              <w:t>人员下临床率未达</w:t>
            </w:r>
            <w:r>
              <w:rPr>
                <w:rFonts w:hint="eastAsia" w:ascii="仿宋_GB2312" w:hAnsi="仿宋_GB2312" w:eastAsia="仿宋_GB2312" w:cs="仿宋_GB2312"/>
                <w:spacing w:val="2"/>
                <w:sz w:val="21"/>
                <w:szCs w:val="21"/>
              </w:rPr>
              <w:t>到50%的每少1%扣0.1分，最多扣5分。药师参加</w:t>
            </w:r>
            <w:r>
              <w:rPr>
                <w:rFonts w:hint="eastAsia" w:ascii="仿宋_GB2312" w:hAnsi="仿宋_GB2312" w:eastAsia="仿宋_GB2312" w:cs="仿宋_GB2312"/>
                <w:spacing w:val="1"/>
                <w:sz w:val="21"/>
                <w:szCs w:val="21"/>
              </w:rPr>
              <w:t>县级以上</w:t>
            </w:r>
            <w:r>
              <w:rPr>
                <w:rFonts w:hint="eastAsia" w:ascii="仿宋_GB2312" w:hAnsi="仿宋_GB2312" w:eastAsia="仿宋_GB2312" w:cs="仿宋_GB2312"/>
                <w:sz w:val="21"/>
                <w:szCs w:val="21"/>
              </w:rPr>
              <w:t>临床能力培训，合格率达100%</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有不合格者扣5分。此项弄虚作假一经发现扣5分。</w:t>
            </w: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本机构药学人员数</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参加药师临床服务能力和合理用药培训人员数</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药学人员培训率</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1125"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sz w:val="21"/>
                <w:szCs w:val="21"/>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z w:val="21"/>
                <w:szCs w:val="21"/>
              </w:rPr>
            </w:pPr>
          </w:p>
        </w:tc>
        <w:tc>
          <w:tcPr>
            <w:tcW w:w="483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pacing w:val="38"/>
                <w:sz w:val="21"/>
                <w:szCs w:val="21"/>
              </w:rPr>
              <w:t>固定下临床人员数</w:t>
            </w:r>
            <w:r>
              <w:rPr>
                <w:rFonts w:hint="eastAsia" w:ascii="仿宋_GB2312" w:hAnsi="仿宋_GB2312" w:eastAsia="仿宋_GB2312" w:cs="仿宋_GB2312"/>
                <w:spacing w:val="38"/>
                <w:sz w:val="21"/>
                <w:szCs w:val="21"/>
                <w:lang w:eastAsia="zh-CN"/>
              </w:rPr>
              <w:t>（</w:t>
            </w:r>
            <w:r>
              <w:rPr>
                <w:rFonts w:hint="eastAsia" w:ascii="仿宋_GB2312" w:hAnsi="仿宋_GB2312" w:eastAsia="仿宋_GB2312" w:cs="仿宋_GB2312"/>
                <w:spacing w:val="38"/>
                <w:sz w:val="21"/>
                <w:szCs w:val="21"/>
                <w:lang w:val="en-US" w:eastAsia="zh-CN"/>
              </w:rPr>
              <w:t xml:space="preserve"> ）</w:t>
            </w:r>
            <w:r>
              <w:rPr>
                <w:rFonts w:hint="eastAsia" w:ascii="仿宋_GB2312" w:hAnsi="仿宋_GB2312" w:eastAsia="仿宋_GB2312" w:cs="仿宋_GB2312"/>
                <w:spacing w:val="38"/>
                <w:sz w:val="21"/>
                <w:szCs w:val="21"/>
              </w:rPr>
              <w:t>药学人员下临床率</w:t>
            </w:r>
            <w:r>
              <w:rPr>
                <w:rFonts w:hint="eastAsia" w:ascii="仿宋_GB2312" w:hAnsi="仿宋_GB2312" w:eastAsia="仿宋_GB2312" w:cs="仿宋_GB2312"/>
                <w:spacing w:val="38"/>
                <w:sz w:val="21"/>
                <w:szCs w:val="21"/>
                <w:lang w:eastAsia="zh-CN"/>
              </w:rPr>
              <w:t>（</w:t>
            </w:r>
            <w:r>
              <w:rPr>
                <w:rFonts w:hint="eastAsia" w:ascii="仿宋_GB2312" w:hAnsi="仿宋_GB2312" w:eastAsia="仿宋_GB2312" w:cs="仿宋_GB2312"/>
                <w:spacing w:val="7"/>
                <w:sz w:val="21"/>
                <w:szCs w:val="21"/>
              </w:rPr>
              <w:t xml:space="preserve"> </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2"/>
                <w:sz w:val="21"/>
                <w:szCs w:val="21"/>
              </w:rPr>
              <w:t>药师能力培训合格率</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13"/>
                <w:sz w:val="21"/>
                <w:szCs w:val="21"/>
              </w:rPr>
              <w:t xml:space="preserve"> </w:t>
            </w:r>
            <w:r>
              <w:rPr>
                <w:rFonts w:hint="eastAsia" w:ascii="仿宋_GB2312" w:hAnsi="仿宋_GB2312" w:eastAsia="仿宋_GB2312" w:cs="仿宋_GB2312"/>
                <w:spacing w:val="13"/>
                <w:sz w:val="21"/>
                <w:szCs w:val="21"/>
                <w:lang w:eastAsia="zh-CN"/>
              </w:rPr>
              <w:t>）</w:t>
            </w:r>
          </w:p>
        </w:tc>
        <w:tc>
          <w:tcPr>
            <w:tcW w:w="1560" w:type="dxa"/>
            <w:vAlign w:val="center"/>
          </w:tcPr>
          <w:p>
            <w:pPr>
              <w:pStyle w:val="14"/>
              <w:keepNext w:val="0"/>
              <w:keepLines w:val="0"/>
              <w:pageBreakBefore w:val="0"/>
              <w:widowControl w:val="0"/>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38"/>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1125" w:type="dxa"/>
            <w:vMerge w:val="restart"/>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0"/>
                <w:position w:val="0"/>
                <w:sz w:val="21"/>
                <w:szCs w:val="21"/>
              </w:rPr>
              <w:t>药学人员配备</w:t>
            </w:r>
            <w:r>
              <w:rPr>
                <w:rFonts w:hint="eastAsia" w:ascii="仿宋_GB2312" w:hAnsi="仿宋_GB2312" w:eastAsia="仿宋_GB2312" w:cs="仿宋_GB2312"/>
                <w:spacing w:val="0"/>
                <w:position w:val="0"/>
                <w:sz w:val="21"/>
                <w:szCs w:val="21"/>
                <w:lang w:eastAsia="zh-CN"/>
              </w:rPr>
              <w:t>（</w:t>
            </w:r>
            <w:r>
              <w:rPr>
                <w:rFonts w:hint="eastAsia" w:ascii="仿宋_GB2312" w:hAnsi="仿宋_GB2312" w:eastAsia="仿宋_GB2312" w:cs="仿宋_GB2312"/>
                <w:spacing w:val="0"/>
                <w:position w:val="0"/>
                <w:sz w:val="21"/>
                <w:szCs w:val="21"/>
              </w:rPr>
              <w:t>5分</w:t>
            </w:r>
            <w:r>
              <w:rPr>
                <w:rFonts w:hint="eastAsia" w:ascii="仿宋_GB2312" w:hAnsi="仿宋_GB2312" w:eastAsia="仿宋_GB2312" w:cs="仿宋_GB2312"/>
                <w:spacing w:val="0"/>
                <w:position w:val="0"/>
                <w:sz w:val="21"/>
                <w:szCs w:val="21"/>
                <w:lang w:eastAsia="zh-CN"/>
              </w:rPr>
              <w:t>）</w:t>
            </w:r>
          </w:p>
        </w:tc>
        <w:tc>
          <w:tcPr>
            <w:tcW w:w="6750" w:type="dxa"/>
            <w:vMerge w:val="restart"/>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40" w:lineRule="exact"/>
              <w:ind w:left="0" w:right="0"/>
              <w:jc w:val="left"/>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本医疗机构配备药学专业技术人员应不少于本机构卫生专业技术人员的8%</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每低1个百分点扣1分，最多扣5分。在岗临床药师有3人以上，少1人扣1分。此项弄虚作假一经发现扣5分。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本机构药学专业技术人员数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1125"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67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本机构卫生专业技术人员数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1125"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67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leftChars="0" w:right="0" w:rightChars="0" w:firstLine="89" w:firstLineChars="0"/>
              <w:jc w:val="center"/>
              <w:textAlignment w:val="auto"/>
              <w:rPr>
                <w:rFonts w:hint="eastAsia" w:ascii="仿宋_GB2312" w:hAnsi="仿宋_GB2312" w:eastAsia="仿宋_GB2312" w:cs="仿宋_GB2312"/>
                <w:color w:val="000000"/>
                <w:spacing w:val="2"/>
                <w:w w:val="100"/>
                <w:position w:val="0"/>
                <w:sz w:val="21"/>
                <w:szCs w:val="21"/>
                <w:shd w:val="clear" w:color="auto" w:fill="auto"/>
                <w:lang w:val="en-US" w:eastAsia="en-US" w:bidi="ar-SA"/>
              </w:rPr>
            </w:pPr>
            <w:r>
              <w:rPr>
                <w:rFonts w:hint="eastAsia" w:ascii="仿宋_GB2312" w:hAnsi="仿宋_GB2312" w:eastAsia="仿宋_GB2312" w:cs="仿宋_GB2312"/>
                <w:spacing w:val="2"/>
                <w:sz w:val="21"/>
                <w:szCs w:val="21"/>
              </w:rPr>
              <w:t>本机构药学专业技术人员占比</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leftChars="0" w:right="0" w:rightChars="0" w:firstLine="89" w:firstLineChars="0"/>
              <w:jc w:val="center"/>
              <w:textAlignment w:val="auto"/>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54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1125"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ind w:left="61" w:firstLine="89"/>
              <w:jc w:val="center"/>
              <w:rPr>
                <w:rFonts w:hint="eastAsia" w:ascii="仿宋_GB2312" w:hAnsi="仿宋_GB2312" w:eastAsia="仿宋_GB2312" w:cs="仿宋_GB2312"/>
                <w:spacing w:val="2"/>
                <w:sz w:val="21"/>
                <w:szCs w:val="21"/>
              </w:rPr>
            </w:pPr>
          </w:p>
        </w:tc>
        <w:tc>
          <w:tcPr>
            <w:tcW w:w="6750" w:type="dxa"/>
            <w:vMerge w:val="continue"/>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firstLine="89"/>
              <w:jc w:val="center"/>
              <w:textAlignment w:val="auto"/>
              <w:rPr>
                <w:rFonts w:hint="eastAsia" w:ascii="仿宋_GB2312" w:hAnsi="仿宋_GB2312" w:eastAsia="仿宋_GB2312" w:cs="仿宋_GB2312"/>
                <w:spacing w:val="2"/>
                <w:sz w:val="21"/>
                <w:szCs w:val="21"/>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leftChars="0" w:right="0" w:rightChars="0" w:firstLine="89" w:firstLineChars="0"/>
              <w:jc w:val="center"/>
              <w:textAlignment w:val="auto"/>
              <w:rPr>
                <w:rFonts w:hint="eastAsia" w:ascii="仿宋_GB2312" w:hAnsi="仿宋_GB2312" w:eastAsia="仿宋_GB2312" w:cs="仿宋_GB2312"/>
                <w:color w:val="000000"/>
                <w:spacing w:val="2"/>
                <w:w w:val="100"/>
                <w:position w:val="0"/>
                <w:sz w:val="21"/>
                <w:szCs w:val="21"/>
                <w:shd w:val="clear" w:color="auto" w:fill="auto"/>
                <w:lang w:val="en-US" w:eastAsia="en-US" w:bidi="ar-SA"/>
              </w:rPr>
            </w:pPr>
            <w:r>
              <w:rPr>
                <w:rFonts w:hint="eastAsia" w:ascii="仿宋_GB2312" w:hAnsi="仿宋_GB2312" w:eastAsia="仿宋_GB2312" w:cs="仿宋_GB2312"/>
                <w:spacing w:val="2"/>
                <w:sz w:val="21"/>
                <w:szCs w:val="21"/>
              </w:rPr>
              <w:t>在岗临床药师人数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leftChars="0" w:right="0" w:rightChars="0" w:firstLine="89" w:firstLineChars="0"/>
              <w:jc w:val="center"/>
              <w:textAlignment w:val="auto"/>
              <w:rPr>
                <w:rFonts w:hint="eastAsia" w:ascii="仿宋_GB2312" w:hAnsi="仿宋_GB2312" w:eastAsia="仿宋_GB2312" w:cs="仿宋_GB2312"/>
                <w:spacing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restart"/>
            <w:tcBorders>
              <w:top w:val="single" w:color="auto" w:sz="4" w:space="0"/>
              <w:left w:val="single" w:color="auto" w:sz="4" w:space="0"/>
              <w:bottom w:val="single" w:color="auto" w:sz="4" w:space="0"/>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药事</w:t>
            </w:r>
          </w:p>
          <w:p>
            <w:pPr>
              <w:pStyle w:val="14"/>
              <w:keepNext w:val="0"/>
              <w:keepLines w:val="0"/>
              <w:pageBreakBefore w:val="0"/>
              <w:widowControl w:val="0"/>
              <w:shd w:val="clear" w:color="auto" w:fill="auto"/>
              <w:kinsoku/>
              <w:wordWrap/>
              <w:overflowPunct/>
              <w:topLinePunct w:val="0"/>
              <w:autoSpaceDE/>
              <w:autoSpaceDN/>
              <w:bidi w:val="0"/>
              <w:spacing w:before="16" w:line="319" w:lineRule="exact"/>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r>
              <w:rPr>
                <w:rFonts w:hint="eastAsia" w:ascii="仿宋_GB2312" w:hAnsi="仿宋_GB2312" w:eastAsia="仿宋_GB2312" w:cs="仿宋_GB2312"/>
                <w:spacing w:val="0"/>
                <w:position w:val="0"/>
                <w:sz w:val="21"/>
                <w:szCs w:val="21"/>
              </w:rPr>
              <w:t>管理</w:t>
            </w:r>
          </w:p>
        </w:tc>
        <w:tc>
          <w:tcPr>
            <w:tcW w:w="1125" w:type="dxa"/>
            <w:vMerge w:val="restart"/>
            <w:tcBorders>
              <w:top w:val="single" w:color="auto" w:sz="4" w:space="0"/>
              <w:bottom w:val="single" w:color="auto" w:sz="4" w:space="0"/>
              <w:right w:val="single" w:color="auto" w:sz="4" w:space="0"/>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药品采购管理</w:t>
            </w: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10分</w:t>
            </w:r>
            <w:r>
              <w:rPr>
                <w:rFonts w:hint="eastAsia" w:ascii="仿宋_GB2312" w:hAnsi="仿宋_GB2312" w:eastAsia="仿宋_GB2312" w:cs="仿宋_GB2312"/>
                <w:spacing w:val="0"/>
                <w:position w:val="0"/>
                <w:sz w:val="21"/>
                <w:szCs w:val="21"/>
                <w:lang w:val="en-US" w:eastAsia="zh-CN"/>
              </w:rPr>
              <w:t>）</w:t>
            </w:r>
          </w:p>
        </w:tc>
        <w:tc>
          <w:tcPr>
            <w:tcW w:w="6750" w:type="dxa"/>
            <w:vMerge w:val="restart"/>
            <w:tcBorders>
              <w:left w:val="single" w:color="auto" w:sz="4" w:space="0"/>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医疗机构应每年确定本机构的采购目录，未确定采购目录的，扣5分。医疗机构使用的所有药品</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lang w:val="en-US" w:eastAsia="en-US"/>
              </w:rPr>
              <w:t>不含中药饮片</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lang w:val="en-US" w:eastAsia="en-US"/>
              </w:rPr>
              <w:t>必须从网上采购，有网外采购的，扣5分。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是否每年确定本机构药品采购目录</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left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药品有无网外采购</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restart"/>
            <w:tcBorders>
              <w:top w:val="single" w:color="auto" w:sz="4" w:space="0"/>
              <w:bottom w:val="single" w:color="auto" w:sz="4" w:space="0"/>
            </w:tcBorders>
            <w:vAlign w:val="center"/>
          </w:tcPr>
          <w:p>
            <w:pPr>
              <w:pStyle w:val="14"/>
              <w:keepNext w:val="0"/>
              <w:keepLines w:val="0"/>
              <w:pageBreakBefore w:val="0"/>
              <w:widowControl w:val="0"/>
              <w:kinsoku/>
              <w:wordWrap/>
              <w:overflowPunct/>
              <w:topLinePunct w:val="0"/>
              <w:autoSpaceDE/>
              <w:autoSpaceDN/>
              <w:bidi w:val="0"/>
              <w:spacing w:before="81" w:line="206" w:lineRule="auto"/>
              <w:ind w:left="200" w:right="74" w:hanging="12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药品配送管理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医疗机构要确定药品配送企业的配送能力，建立准入与淘汰制度，未完成的每项扣2分，最多扣4分。医疗机构药品配送企业较多的要逐年减少药品配送企业，未按要求减少的扣6分。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是否确定药品配送企业的配送能力要求</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是否建立药品配送企业准入与淘汰制度</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去年药品配送企业数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今年药品配送企业数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restart"/>
            <w:tcBorders>
              <w:top w:val="single" w:color="auto" w:sz="4" w:space="0"/>
              <w:bottom w:val="single" w:color="auto" w:sz="4" w:space="0"/>
            </w:tcBorders>
            <w:vAlign w:val="center"/>
          </w:tcPr>
          <w:p>
            <w:pPr>
              <w:pStyle w:val="14"/>
              <w:keepNext w:val="0"/>
              <w:keepLines w:val="0"/>
              <w:pageBreakBefore w:val="0"/>
              <w:widowControl w:val="0"/>
              <w:kinsoku/>
              <w:wordWrap/>
              <w:overflowPunct/>
              <w:topLinePunct w:val="0"/>
              <w:autoSpaceDE/>
              <w:autoSpaceDN/>
              <w:bidi w:val="0"/>
              <w:spacing w:before="81" w:line="206" w:lineRule="auto"/>
              <w:ind w:left="149" w:right="108" w:hanging="49"/>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处方点评</w:t>
            </w:r>
          </w:p>
          <w:p>
            <w:pPr>
              <w:pStyle w:val="14"/>
              <w:keepNext w:val="0"/>
              <w:keepLines w:val="0"/>
              <w:pageBreakBefore w:val="0"/>
              <w:widowControl w:val="0"/>
              <w:kinsoku/>
              <w:wordWrap/>
              <w:overflowPunct/>
              <w:topLinePunct w:val="0"/>
              <w:autoSpaceDE/>
              <w:autoSpaceDN/>
              <w:bidi w:val="0"/>
              <w:spacing w:before="81" w:line="206" w:lineRule="auto"/>
              <w:ind w:left="149" w:right="108" w:hanging="49"/>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医疗机构应建立处方的每月点评制度，并将基本药物的使用情况作为点评的重要内容，未建立的扣5分。抽查100张处方，进行处方点评，每张不合理处方扣0.5分，最多扣5分。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是否建立处方的每月点评制度</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是否将基本药物的使用情况作为点评的重要内容</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bottom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点评处方数量</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点评处方中不合理处方数</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restart"/>
            <w:tcBorders>
              <w:top w:val="single" w:color="auto" w:sz="4" w:space="0"/>
              <w:bottom w:val="single" w:color="auto" w:sz="4" w:space="0"/>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药品使用监测预警</w:t>
            </w:r>
          </w:p>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10分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医疗机构要明确专人负责药品使用监测信息填报工作，按要求及时填报或上报药品监测数据，未明确专人负责的扣5分，未及时上报药品短缺和涨价情况的扣5分。此项最多扣10分。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药品使用监测信息填报工作负责人姓名</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是否及时上报药品短缺和涨价情况</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restart"/>
            <w:tcBorders>
              <w:top w:val="single" w:color="auto" w:sz="4" w:space="0"/>
              <w:bottom w:val="single" w:color="auto" w:sz="4" w:space="0"/>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color w:val="000000"/>
                <w:spacing w:val="0"/>
                <w:w w:val="100"/>
                <w:position w:val="0"/>
                <w:sz w:val="21"/>
                <w:szCs w:val="21"/>
                <w:shd w:val="clear" w:color="auto" w:fill="auto"/>
                <w:lang w:val="en-US" w:eastAsia="en-US" w:bidi="ar-SA"/>
              </w:rPr>
            </w:pPr>
            <w:r>
              <w:rPr>
                <w:rFonts w:hint="eastAsia" w:ascii="仿宋_GB2312" w:hAnsi="仿宋_GB2312" w:eastAsia="仿宋_GB2312" w:cs="仿宋_GB2312"/>
                <w:color w:val="000000"/>
                <w:spacing w:val="0"/>
                <w:w w:val="100"/>
                <w:position w:val="0"/>
                <w:sz w:val="21"/>
                <w:szCs w:val="21"/>
                <w:shd w:val="clear" w:color="auto" w:fill="auto"/>
                <w:lang w:val="en-US" w:eastAsia="en-US" w:bidi="ar-SA"/>
              </w:rPr>
              <w:t>急抢救药品和短缺药品配备</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0"/>
                <w:w w:val="100"/>
                <w:position w:val="0"/>
                <w:sz w:val="21"/>
                <w:szCs w:val="21"/>
                <w:shd w:val="clear" w:color="auto" w:fill="auto"/>
                <w:lang w:val="en-US" w:eastAsia="en-US" w:bidi="ar-SA"/>
              </w:rPr>
              <w:t>5分</w:t>
            </w:r>
            <w:r>
              <w:rPr>
                <w:rFonts w:hint="eastAsia" w:ascii="仿宋_GB2312" w:hAnsi="仿宋_GB2312" w:eastAsia="仿宋_GB2312" w:cs="仿宋_GB2312"/>
                <w:color w:val="000000"/>
                <w:spacing w:val="0"/>
                <w:w w:val="100"/>
                <w:position w:val="0"/>
                <w:sz w:val="21"/>
                <w:szCs w:val="21"/>
                <w:shd w:val="clear" w:color="auto" w:fill="auto"/>
                <w:lang w:val="en-US" w:eastAsia="zh-CN" w:bidi="ar-SA"/>
              </w:rPr>
              <w:t>）</w:t>
            </w:r>
          </w:p>
        </w:tc>
        <w:tc>
          <w:tcPr>
            <w:tcW w:w="6750" w:type="dxa"/>
            <w:vMerge w:val="restart"/>
            <w:tcBorders>
              <w:bottom w:val="nil"/>
            </w:tcBorders>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医疗机构要根据急</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抢</w:t>
            </w:r>
            <w:r>
              <w:rPr>
                <w:rFonts w:hint="eastAsia" w:ascii="仿宋_GB2312" w:hAnsi="仿宋_GB2312" w:eastAsia="仿宋_GB2312" w:cs="仿宋_GB2312"/>
                <w:color w:val="000000"/>
                <w:spacing w:val="-1"/>
                <w:w w:val="100"/>
                <w:position w:val="0"/>
                <w:sz w:val="21"/>
                <w:szCs w:val="21"/>
                <w:shd w:val="clear" w:color="auto" w:fill="auto"/>
                <w:lang w:val="en-US" w:eastAsia="zh-CN" w:bidi="ar-SA"/>
              </w:rPr>
              <w:t>）</w:t>
            </w:r>
            <w:r>
              <w:rPr>
                <w:rFonts w:hint="eastAsia" w:ascii="仿宋_GB2312" w:hAnsi="仿宋_GB2312" w:eastAsia="仿宋_GB2312" w:cs="仿宋_GB2312"/>
                <w:color w:val="000000"/>
                <w:spacing w:val="-1"/>
                <w:w w:val="100"/>
                <w:position w:val="0"/>
                <w:sz w:val="21"/>
                <w:szCs w:val="21"/>
                <w:shd w:val="clear" w:color="auto" w:fill="auto"/>
                <w:lang w:val="en-US" w:eastAsia="en-US" w:bidi="ar-SA"/>
              </w:rPr>
              <w:t>救药物清单和本单位急诊用药量常备一定数量的急救药品，未配备的扣3分；合理设置特定药品库存警戒线，未设置的扣2分。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是否根据急</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lang w:val="en-US" w:eastAsia="en-US"/>
              </w:rPr>
              <w:t>抢</w:t>
            </w:r>
            <w:r>
              <w:rPr>
                <w:rFonts w:hint="eastAsia" w:ascii="仿宋_GB2312" w:hAnsi="仿宋_GB2312" w:eastAsia="仿宋_GB2312" w:cs="仿宋_GB2312"/>
                <w:spacing w:val="1"/>
                <w:sz w:val="21"/>
                <w:szCs w:val="21"/>
                <w:lang w:val="en-US" w:eastAsia="zh-CN"/>
              </w:rPr>
              <w:t>）</w:t>
            </w:r>
            <w:r>
              <w:rPr>
                <w:rFonts w:hint="eastAsia" w:ascii="仿宋_GB2312" w:hAnsi="仿宋_GB2312" w:eastAsia="仿宋_GB2312" w:cs="仿宋_GB2312"/>
                <w:spacing w:val="1"/>
                <w:sz w:val="21"/>
                <w:szCs w:val="21"/>
                <w:lang w:val="en-US" w:eastAsia="en-US"/>
              </w:rPr>
              <w:t>救药物清单和本单位急诊用药量常备一定数量的急救药品</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540" w:type="dxa"/>
            <w:vMerge w:val="continue"/>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1125" w:type="dxa"/>
            <w:vMerge w:val="continue"/>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0"/>
                <w:w w:val="100"/>
                <w:position w:val="0"/>
                <w:sz w:val="24"/>
                <w:szCs w:val="24"/>
                <w:shd w:val="clear" w:color="auto" w:fill="auto"/>
                <w:lang w:val="en-US" w:eastAsia="en-US" w:bidi="ar-SA"/>
              </w:rPr>
            </w:pPr>
          </w:p>
        </w:tc>
        <w:tc>
          <w:tcPr>
            <w:tcW w:w="6750" w:type="dxa"/>
            <w:vMerge w:val="continue"/>
            <w:tcBorders>
              <w:top w:val="nil"/>
            </w:tcBorders>
            <w:vAlign w:val="center"/>
          </w:tcPr>
          <w:p>
            <w:pPr>
              <w:keepNext w:val="0"/>
              <w:keepLines w:val="0"/>
              <w:pageBreakBefore w:val="0"/>
              <w:widowControl w:val="0"/>
              <w:kinsoku/>
              <w:wordWrap/>
              <w:overflowPunct/>
              <w:topLinePunct w:val="0"/>
              <w:autoSpaceDE/>
              <w:autoSpaceDN/>
              <w:bidi w:val="0"/>
              <w:jc w:val="center"/>
              <w:rPr>
                <w:rFonts w:hint="eastAsia" w:ascii="仿宋_GB2312" w:hAnsi="仿宋_GB2312" w:eastAsia="仿宋_GB2312" w:cs="仿宋_GB2312"/>
                <w:color w:val="000000"/>
                <w:spacing w:val="-1"/>
                <w:w w:val="100"/>
                <w:position w:val="0"/>
                <w:sz w:val="21"/>
                <w:szCs w:val="21"/>
                <w:shd w:val="clear" w:color="auto" w:fill="auto"/>
                <w:lang w:val="en-US" w:eastAsia="en-US" w:bidi="ar-SA"/>
              </w:rPr>
            </w:pP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r>
              <w:rPr>
                <w:rFonts w:hint="eastAsia" w:ascii="仿宋_GB2312" w:hAnsi="仿宋_GB2312" w:eastAsia="仿宋_GB2312" w:cs="仿宋_GB2312"/>
                <w:spacing w:val="1"/>
                <w:sz w:val="21"/>
                <w:szCs w:val="21"/>
                <w:lang w:val="en-US" w:eastAsia="en-US"/>
              </w:rPr>
              <w:t>是否设置特定药品库存警戒线</w:t>
            </w: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665" w:type="dxa"/>
            <w:gridSpan w:val="2"/>
            <w:tcBorders>
              <w:top w:val="single" w:color="auto" w:sz="4" w:space="0"/>
            </w:tcBorders>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相关工作落实情况</w:t>
            </w:r>
          </w:p>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扣分项</w:t>
            </w:r>
            <w:r>
              <w:rPr>
                <w:rFonts w:hint="eastAsia" w:ascii="仿宋_GB2312" w:hAnsi="仿宋_GB2312" w:eastAsia="仿宋_GB2312" w:cs="仿宋_GB2312"/>
                <w:spacing w:val="0"/>
                <w:position w:val="0"/>
                <w:sz w:val="21"/>
                <w:szCs w:val="21"/>
                <w:lang w:val="en-US" w:eastAsia="zh-CN"/>
              </w:rPr>
              <w:t>）</w:t>
            </w:r>
          </w:p>
        </w:tc>
        <w:tc>
          <w:tcPr>
            <w:tcW w:w="675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对国家、省、市安排工作落实不力，问题整改不到位，上报情况或数据存在明显错误的，可根据情况扣1至10分。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665" w:type="dxa"/>
            <w:gridSpan w:val="2"/>
            <w:vAlign w:val="center"/>
          </w:tcPr>
          <w:p>
            <w:pPr>
              <w:pStyle w:val="14"/>
              <w:keepNext w:val="0"/>
              <w:keepLines w:val="0"/>
              <w:pageBreakBefore w:val="0"/>
              <w:widowControl w:val="0"/>
              <w:shd w:val="clear" w:color="auto" w:fill="auto"/>
              <w:kinsoku/>
              <w:wordWrap/>
              <w:overflowPunct/>
              <w:topLinePunct w:val="0"/>
              <w:autoSpaceDE/>
              <w:autoSpaceDN/>
              <w:bidi w:val="0"/>
              <w:spacing w:before="26" w:line="233" w:lineRule="auto"/>
              <w:jc w:val="center"/>
              <w:rPr>
                <w:rFonts w:hint="eastAsia" w:ascii="仿宋_GB2312" w:hAnsi="仿宋_GB2312" w:eastAsia="仿宋_GB2312" w:cs="仿宋_GB2312"/>
                <w:spacing w:val="0"/>
                <w:position w:val="0"/>
                <w:sz w:val="21"/>
                <w:szCs w:val="21"/>
                <w:lang w:val="en-US" w:eastAsia="en-US"/>
              </w:rPr>
            </w:pPr>
            <w:r>
              <w:rPr>
                <w:rFonts w:hint="eastAsia" w:ascii="仿宋_GB2312" w:hAnsi="仿宋_GB2312" w:eastAsia="仿宋_GB2312" w:cs="仿宋_GB2312"/>
                <w:spacing w:val="0"/>
                <w:position w:val="0"/>
                <w:sz w:val="21"/>
                <w:szCs w:val="21"/>
                <w:lang w:val="en-US" w:eastAsia="en-US"/>
              </w:rPr>
              <w:t>医疗机构先进经验做法</w:t>
            </w:r>
            <w:r>
              <w:rPr>
                <w:rFonts w:hint="eastAsia" w:ascii="仿宋_GB2312" w:hAnsi="仿宋_GB2312" w:eastAsia="仿宋_GB2312" w:cs="仿宋_GB2312"/>
                <w:spacing w:val="0"/>
                <w:position w:val="0"/>
                <w:sz w:val="21"/>
                <w:szCs w:val="21"/>
                <w:lang w:val="en-US" w:eastAsia="zh-CN"/>
              </w:rPr>
              <w:t>（</w:t>
            </w:r>
            <w:r>
              <w:rPr>
                <w:rFonts w:hint="eastAsia" w:ascii="仿宋_GB2312" w:hAnsi="仿宋_GB2312" w:eastAsia="仿宋_GB2312" w:cs="仿宋_GB2312"/>
                <w:spacing w:val="0"/>
                <w:position w:val="0"/>
                <w:sz w:val="21"/>
                <w:szCs w:val="21"/>
                <w:lang w:val="en-US" w:eastAsia="en-US"/>
              </w:rPr>
              <w:t>加分项</w:t>
            </w:r>
            <w:r>
              <w:rPr>
                <w:rFonts w:hint="eastAsia" w:ascii="仿宋_GB2312" w:hAnsi="仿宋_GB2312" w:eastAsia="仿宋_GB2312" w:cs="仿宋_GB2312"/>
                <w:spacing w:val="0"/>
                <w:position w:val="0"/>
                <w:sz w:val="21"/>
                <w:szCs w:val="21"/>
                <w:lang w:val="en-US" w:eastAsia="zh-CN"/>
              </w:rPr>
              <w:t>）</w:t>
            </w:r>
          </w:p>
        </w:tc>
        <w:tc>
          <w:tcPr>
            <w:tcW w:w="675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left"/>
              <w:textAlignment w:val="auto"/>
              <w:rPr>
                <w:rFonts w:hint="eastAsia" w:ascii="仿宋_GB2312" w:hAnsi="仿宋_GB2312" w:eastAsia="仿宋_GB2312" w:cs="仿宋_GB2312"/>
                <w:color w:val="000000"/>
                <w:spacing w:val="-1"/>
                <w:w w:val="100"/>
                <w:position w:val="0"/>
                <w:sz w:val="21"/>
                <w:szCs w:val="21"/>
                <w:shd w:val="clear" w:color="auto" w:fill="auto"/>
                <w:lang w:val="en-US" w:eastAsia="en-US" w:bidi="ar-SA"/>
              </w:rPr>
            </w:pPr>
            <w:r>
              <w:rPr>
                <w:rFonts w:hint="eastAsia" w:ascii="仿宋_GB2312" w:hAnsi="仿宋_GB2312" w:eastAsia="仿宋_GB2312" w:cs="仿宋_GB2312"/>
                <w:color w:val="000000"/>
                <w:spacing w:val="-1"/>
                <w:w w:val="100"/>
                <w:position w:val="0"/>
                <w:sz w:val="21"/>
                <w:szCs w:val="21"/>
                <w:shd w:val="clear" w:color="auto" w:fill="auto"/>
                <w:lang w:val="en-US" w:eastAsia="en-US" w:bidi="ar-SA"/>
              </w:rPr>
              <w:t>本年度医疗机构药政工作先进经验做法，在国家、省、市卫生健康委相关工作会议交流，或得到上级卫生健康部门认可并可进行复制推广的；或在国家、省、市级组织的业务竞赛中表现良好的，可根据实际情况加1至10分。</w:t>
            </w:r>
          </w:p>
        </w:tc>
        <w:tc>
          <w:tcPr>
            <w:tcW w:w="483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c>
          <w:tcPr>
            <w:tcW w:w="1560"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spacing w:before="0" w:line="260" w:lineRule="exact"/>
              <w:ind w:left="0" w:right="0"/>
              <w:jc w:val="center"/>
              <w:textAlignment w:val="auto"/>
              <w:rPr>
                <w:rFonts w:hint="eastAsia" w:ascii="仿宋_GB2312" w:hAnsi="仿宋_GB2312" w:eastAsia="仿宋_GB2312" w:cs="仿宋_GB2312"/>
                <w:spacing w:val="1"/>
                <w:sz w:val="21"/>
                <w:szCs w:val="21"/>
                <w:lang w:val="en-US" w:eastAsia="en-US"/>
              </w:rPr>
            </w:pPr>
          </w:p>
        </w:tc>
      </w:tr>
    </w:tbl>
    <w:p>
      <w:pPr>
        <w:keepNext w:val="0"/>
        <w:keepLines w:val="0"/>
        <w:pageBreakBefore w:val="0"/>
        <w:widowControl w:val="0"/>
        <w:kinsoku/>
        <w:wordWrap/>
        <w:overflowPunct/>
        <w:topLinePunct w:val="0"/>
        <w:autoSpaceDE/>
        <w:autoSpaceDN/>
        <w:bidi w:val="0"/>
        <w:rPr>
          <w:rFonts w:ascii="Arial" w:hAnsi="Arial" w:eastAsia="Arial" w:cs="Arial"/>
          <w:sz w:val="21"/>
          <w:szCs w:val="21"/>
        </w:rPr>
        <w:sectPr>
          <w:footerReference r:id="rId5" w:type="default"/>
          <w:pgSz w:w="16920" w:h="12050"/>
          <w:pgMar w:top="1327" w:right="1365" w:bottom="1327" w:left="1435" w:header="0" w:footer="927" w:gutter="0"/>
          <w:pgNumType w:fmt="numberInDash"/>
          <w:cols w:space="720" w:num="1"/>
        </w:sectPr>
      </w:pPr>
    </w:p>
    <w:bookmarkEnd w:id="0"/>
    <w:bookmarkEnd w:id="1"/>
    <w:bookmarkEnd w:id="2"/>
    <w:p>
      <w:pPr>
        <w:keepNext w:val="0"/>
        <w:keepLines w:val="0"/>
        <w:pageBreakBefore w:val="0"/>
        <w:widowControl w:val="0"/>
        <w:kinsoku/>
        <w:wordWrap/>
        <w:overflowPunct/>
        <w:topLinePunct w:val="0"/>
        <w:autoSpaceDE/>
        <w:autoSpaceDN/>
        <w:bidi w:val="0"/>
        <w:rPr>
          <w:rFonts w:hint="eastAsia" w:ascii="仿宋" w:hAnsi="仿宋" w:eastAsia="仿宋" w:cs="仿宋"/>
          <w:color w:val="000000"/>
          <w:spacing w:val="0"/>
          <w:w w:val="100"/>
          <w:position w:val="0"/>
          <w:sz w:val="22"/>
          <w:szCs w:val="22"/>
          <w:shd w:val="clear" w:color="auto" w:fill="auto"/>
          <w:lang w:val="en-US" w:eastAsia="en-US" w:bidi="ar-SA"/>
        </w:rPr>
      </w:pPr>
      <w:bookmarkStart w:id="3" w:name="_GoBack"/>
      <w:bookmarkEnd w:id="3"/>
    </w:p>
    <w:sectPr>
      <w:headerReference r:id="rId6" w:type="default"/>
      <w:footerReference r:id="rId7" w:type="default"/>
      <w:footnotePr>
        <w:numFmt w:val="decimal"/>
      </w:footnotePr>
      <w:pgSz w:w="16840" w:h="11900" w:orient="landscape"/>
      <w:pgMar w:top="1191" w:right="1519" w:bottom="1020" w:left="1519" w:header="726" w:footer="907"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YTAwMDczYjY1N2QwMWRkOTJkMmFmZTU5MzlkOGQifQ=="/>
  </w:docVars>
  <w:rsids>
    <w:rsidRoot w:val="10EE469C"/>
    <w:rsid w:val="0644162B"/>
    <w:rsid w:val="078863B7"/>
    <w:rsid w:val="10EE469C"/>
    <w:rsid w:val="3AC56CD2"/>
    <w:rsid w:val="4B4734B2"/>
    <w:rsid w:val="4BAB3DCF"/>
    <w:rsid w:val="61795344"/>
    <w:rsid w:val="75740A4D"/>
    <w:rsid w:val="7B294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2"/>
    <w:basedOn w:val="1"/>
    <w:next w:val="1"/>
    <w:unhideWhenUsed/>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spacing w:line="300" w:lineRule="auto"/>
      <w:ind w:firstLine="482" w:firstLineChars="200"/>
    </w:pPr>
    <w:rPr>
      <w:rFonts w:ascii="宋体" w:cs="宋体"/>
      <w:kern w:val="0"/>
      <w:sz w:val="24"/>
      <w:szCs w:val="24"/>
      <w:lang w:val="zh-CN"/>
    </w:rPr>
  </w:style>
  <w:style w:type="paragraph" w:styleId="4">
    <w:name w:val="Body Text Indent"/>
    <w:basedOn w:val="1"/>
    <w:next w:val="3"/>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0"/>
    <w:pPr>
      <w:widowControl w:val="0"/>
      <w:spacing w:before="100" w:beforeAutospacing="1"/>
      <w:ind w:leftChars="200" w:firstLine="420" w:firstLineChars="200"/>
      <w:jc w:val="both"/>
    </w:pPr>
    <w:rPr>
      <w:kern w:val="2"/>
      <w:sz w:val="21"/>
      <w:szCs w:val="21"/>
      <w:lang w:val="en-US" w:eastAsia="zh-CN" w:bidi="ar-SA"/>
    </w:rPr>
  </w:style>
  <w:style w:type="paragraph" w:customStyle="1" w:styleId="10">
    <w:name w:val="Heading #1|1"/>
    <w:basedOn w:val="1"/>
    <w:qFormat/>
    <w:uiPriority w:val="0"/>
    <w:pPr>
      <w:widowControl w:val="0"/>
      <w:shd w:val="clear" w:color="auto" w:fill="auto"/>
      <w:spacing w:before="100" w:after="460" w:line="598"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11">
    <w:name w:val="Body text|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Other|1"/>
    <w:basedOn w:val="1"/>
    <w:qFormat/>
    <w:uiPriority w:val="0"/>
    <w:pPr>
      <w:widowControl w:val="0"/>
      <w:shd w:val="clear" w:color="auto" w:fill="auto"/>
      <w:spacing w:line="470" w:lineRule="auto"/>
      <w:ind w:firstLine="400"/>
    </w:pPr>
    <w:rPr>
      <w:rFonts w:ascii="宋体" w:hAnsi="宋体" w:eastAsia="宋体" w:cs="宋体"/>
      <w:sz w:val="28"/>
      <w:szCs w:val="28"/>
      <w:u w:val="none"/>
      <w:shd w:val="clear" w:color="auto" w:fill="auto"/>
      <w:lang w:val="zh-TW" w:eastAsia="zh-TW" w:bidi="zh-TW"/>
    </w:rPr>
  </w:style>
  <w:style w:type="paragraph" w:customStyle="1" w:styleId="13">
    <w:name w:val="Table caption|1"/>
    <w:basedOn w:val="1"/>
    <w:qFormat/>
    <w:uiPriority w:val="0"/>
    <w:pPr>
      <w:widowControl w:val="0"/>
      <w:shd w:val="clear" w:color="auto" w:fill="auto"/>
    </w:pPr>
    <w:rPr>
      <w:sz w:val="26"/>
      <w:szCs w:val="26"/>
      <w:u w:val="none"/>
      <w:shd w:val="clear" w:color="auto" w:fill="auto"/>
    </w:rPr>
  </w:style>
  <w:style w:type="paragraph" w:customStyle="1" w:styleId="14">
    <w:name w:val="Table Text"/>
    <w:basedOn w:val="1"/>
    <w:semiHidden/>
    <w:qFormat/>
    <w:uiPriority w:val="0"/>
    <w:rPr>
      <w:rFonts w:ascii="宋体" w:hAnsi="宋体" w:eastAsia="宋体" w:cs="宋体"/>
      <w:sz w:val="25"/>
      <w:szCs w:val="25"/>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6338</Words>
  <Characters>6495</Characters>
  <Lines>0</Lines>
  <Paragraphs>0</Paragraphs>
  <TotalTime>32</TotalTime>
  <ScaleCrop>false</ScaleCrop>
  <LinksUpToDate>false</LinksUpToDate>
  <CharactersWithSpaces>6754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2023-07-12T08:30:00Z</dcterms:created>
  <dc:creator>曦曦</dc:creator>
  <cp:lastModifiedBy>张志超</cp:lastModifiedBy>
  <cp:lastPrinted>2024-07-02T02:44:00Z</cp:lastPrinted>
  <dcterms:modified xsi:type="dcterms:W3CDTF">2024-09-24T07:36:46Z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EA80FA46DB9F420886880E480E33664F_13</vt:lpwstr>
  </property>
</Properties>
</file>