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hd w:val="clear" w:color="auto" w:fill="auto"/>
        <w:tabs>
          <w:tab w:val="left" w:pos="13734"/>
        </w:tabs>
        <w:kinsoku/>
        <w:wordWrap/>
        <w:overflowPunct/>
        <w:topLinePunct w:val="0"/>
        <w:autoSpaceDE/>
        <w:autoSpaceDN/>
        <w:bidi w:val="0"/>
        <w:spacing w:before="0" w:after="60" w:line="240" w:lineRule="auto"/>
        <w:ind w:right="0"/>
        <w:jc w:val="left"/>
        <w:rPr>
          <w:rFonts w:hint="eastAsia" w:ascii="仿宋_GB2312" w:hAnsi="仿宋_GB2312" w:eastAsia="仿宋_GB2312" w:cs="仿宋_GB2312"/>
          <w:b/>
          <w:bCs/>
          <w:color w:val="000000"/>
          <w:spacing w:val="-6"/>
          <w:w w:val="100"/>
          <w:kern w:val="2"/>
          <w:position w:val="0"/>
          <w:sz w:val="32"/>
          <w:szCs w:val="32"/>
          <w:u w:val="none"/>
          <w:shd w:val="clear"/>
          <w:lang w:val="en-US" w:eastAsia="zh-CN" w:bidi="ar-SA"/>
        </w:rPr>
      </w:pPr>
      <w:r>
        <w:rPr>
          <w:rFonts w:hint="eastAsia" w:ascii="仿宋_GB2312" w:hAnsi="仿宋_GB2312" w:eastAsia="仿宋_GB2312" w:cs="仿宋_GB2312"/>
          <w:color w:val="000000"/>
          <w:spacing w:val="-6"/>
          <w:w w:val="100"/>
          <w:kern w:val="2"/>
          <w:position w:val="0"/>
          <w:sz w:val="32"/>
          <w:szCs w:val="32"/>
          <w:u w:val="none"/>
          <w:shd w:val="clear"/>
          <w:lang w:val="en-US" w:eastAsia="zh-CN" w:bidi="ar-SA"/>
        </w:rPr>
        <w:t>附件3</w:t>
      </w:r>
    </w:p>
    <w:p>
      <w:pPr>
        <w:keepNext w:val="0"/>
        <w:keepLines w:val="0"/>
        <w:pageBreakBefore w:val="0"/>
        <w:widowControl w:val="0"/>
        <w:kinsoku/>
        <w:wordWrap/>
        <w:overflowPunct/>
        <w:topLinePunct w:val="0"/>
        <w:autoSpaceDE/>
        <w:autoSpaceDN/>
        <w:bidi w:val="0"/>
        <w:spacing w:before="253" w:line="218" w:lineRule="auto"/>
        <w:ind w:left="108"/>
        <w:jc w:val="center"/>
        <w:outlineLvl w:val="6"/>
        <w:rPr>
          <w:rFonts w:hint="eastAsia" w:ascii="宋体" w:hAnsi="宋体" w:eastAsia="宋体" w:cs="宋体"/>
          <w:b/>
          <w:bCs/>
          <w:color w:val="000000"/>
          <w:spacing w:val="-6"/>
          <w:w w:val="100"/>
          <w:kern w:val="2"/>
          <w:position w:val="0"/>
          <w:sz w:val="44"/>
          <w:szCs w:val="44"/>
          <w:u w:val="none"/>
          <w:shd w:val="clear" w:color="auto" w:fill="auto"/>
          <w:lang w:val="en-US" w:eastAsia="zh-CN" w:bidi="ar-SA"/>
        </w:rPr>
      </w:pPr>
      <w:r>
        <w:rPr>
          <w:rFonts w:hint="eastAsia" w:ascii="宋体" w:hAnsi="宋体" w:eastAsia="宋体" w:cs="宋体"/>
          <w:b/>
          <w:bCs/>
          <w:color w:val="000000"/>
          <w:spacing w:val="-6"/>
          <w:w w:val="100"/>
          <w:kern w:val="2"/>
          <w:position w:val="0"/>
          <w:sz w:val="44"/>
          <w:szCs w:val="44"/>
          <w:u w:val="none"/>
          <w:shd w:val="clear" w:color="auto" w:fill="auto"/>
          <w:lang w:val="en-US" w:eastAsia="zh-CN" w:bidi="ar-SA"/>
        </w:rPr>
        <w:t>村卫生室实施基本药物制度绩效评价指标</w:t>
      </w:r>
    </w:p>
    <w:p>
      <w:pPr>
        <w:keepNext w:val="0"/>
        <w:keepLines w:val="0"/>
        <w:pageBreakBefore w:val="0"/>
        <w:widowControl w:val="0"/>
        <w:kinsoku/>
        <w:wordWrap/>
        <w:overflowPunct/>
        <w:topLinePunct w:val="0"/>
        <w:autoSpaceDE/>
        <w:autoSpaceDN/>
        <w:bidi w:val="0"/>
        <w:spacing w:before="253" w:line="218" w:lineRule="auto"/>
        <w:ind w:left="108"/>
        <w:jc w:val="center"/>
        <w:outlineLvl w:val="6"/>
        <w:rPr>
          <w:rFonts w:hint="eastAsia"/>
          <w:lang w:val="en-US" w:eastAsia="en-US"/>
        </w:rPr>
      </w:pPr>
      <w:r>
        <w:rPr>
          <w:rFonts w:hint="eastAsia"/>
          <w:b w:val="0"/>
          <w:bCs w:val="0"/>
          <w:color w:val="000000"/>
          <w:spacing w:val="0"/>
          <w:w w:val="100"/>
          <w:position w:val="0"/>
          <w:sz w:val="28"/>
          <w:szCs w:val="28"/>
          <w:lang w:val="en-US" w:eastAsia="zh-CN"/>
        </w:rPr>
        <w:t xml:space="preserve">                                </w:t>
      </w:r>
      <w:r>
        <w:rPr>
          <w:rFonts w:hint="eastAsia" w:ascii="仿宋_GB2312" w:hAnsi="仿宋_GB2312" w:eastAsia="仿宋_GB2312" w:cs="仿宋_GB2312"/>
          <w:color w:val="000000"/>
          <w:spacing w:val="-6"/>
          <w:w w:val="100"/>
          <w:kern w:val="2"/>
          <w:position w:val="0"/>
          <w:sz w:val="32"/>
          <w:szCs w:val="32"/>
          <w:u w:val="none"/>
          <w:shd w:val="clear" w:color="auto" w:fill="auto"/>
          <w:lang w:val="en-US" w:eastAsia="zh-CN" w:bidi="ar-SA"/>
        </w:rPr>
        <w:t>单位：</w:t>
      </w:r>
    </w:p>
    <w:tbl>
      <w:tblPr>
        <w:tblStyle w:val="15"/>
        <w:tblpPr w:leftFromText="180" w:rightFromText="180" w:vertAnchor="text" w:horzAnchor="page" w:tblpX="1049" w:tblpY="54"/>
        <w:tblOverlap w:val="never"/>
        <w:tblW w:w="146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6765"/>
        <w:gridCol w:w="4875"/>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620" w:type="dxa"/>
            <w:vAlign w:val="center"/>
          </w:tcPr>
          <w:p>
            <w:pPr>
              <w:pStyle w:val="14"/>
              <w:keepNext w:val="0"/>
              <w:keepLines w:val="0"/>
              <w:pageBreakBefore w:val="0"/>
              <w:widowControl w:val="0"/>
              <w:shd w:val="clear" w:color="auto" w:fill="auto"/>
              <w:kinsoku/>
              <w:wordWrap/>
              <w:overflowPunct/>
              <w:topLinePunct w:val="0"/>
              <w:autoSpaceDE/>
              <w:autoSpaceDN/>
              <w:bidi w:val="0"/>
              <w:spacing w:before="29" w:line="204" w:lineRule="auto"/>
              <w:ind w:left="68"/>
              <w:jc w:val="center"/>
              <w:rPr>
                <w:rFonts w:hint="eastAsia" w:ascii="仿宋_GB2312" w:hAnsi="仿宋_GB2312" w:eastAsia="仿宋_GB2312" w:cs="仿宋_GB2312"/>
                <w:b/>
                <w:bCs/>
                <w:spacing w:val="7"/>
                <w:sz w:val="30"/>
                <w:szCs w:val="30"/>
                <w:lang w:val="en-US" w:eastAsia="en-US"/>
              </w:rPr>
            </w:pPr>
            <w:r>
              <w:rPr>
                <w:rFonts w:hint="eastAsia" w:ascii="仿宋_GB2312" w:hAnsi="仿宋_GB2312" w:eastAsia="仿宋_GB2312" w:cs="仿宋_GB2312"/>
                <w:b/>
                <w:bCs/>
                <w:spacing w:val="7"/>
                <w:sz w:val="30"/>
                <w:szCs w:val="30"/>
                <w:lang w:val="en-US" w:eastAsia="en-US"/>
              </w:rPr>
              <w:t>评价项目</w:t>
            </w:r>
          </w:p>
        </w:tc>
        <w:tc>
          <w:tcPr>
            <w:tcW w:w="6765" w:type="dxa"/>
            <w:vAlign w:val="center"/>
          </w:tcPr>
          <w:p>
            <w:pPr>
              <w:pStyle w:val="14"/>
              <w:keepNext w:val="0"/>
              <w:keepLines w:val="0"/>
              <w:pageBreakBefore w:val="0"/>
              <w:widowControl w:val="0"/>
              <w:shd w:val="clear" w:color="auto" w:fill="auto"/>
              <w:kinsoku/>
              <w:wordWrap/>
              <w:overflowPunct/>
              <w:topLinePunct w:val="0"/>
              <w:autoSpaceDE/>
              <w:autoSpaceDN/>
              <w:bidi w:val="0"/>
              <w:spacing w:before="29" w:line="204" w:lineRule="auto"/>
              <w:ind w:left="68"/>
              <w:jc w:val="center"/>
              <w:rPr>
                <w:rFonts w:hint="eastAsia" w:ascii="仿宋_GB2312" w:hAnsi="仿宋_GB2312" w:eastAsia="仿宋_GB2312" w:cs="仿宋_GB2312"/>
                <w:b/>
                <w:bCs/>
                <w:spacing w:val="7"/>
                <w:sz w:val="30"/>
                <w:szCs w:val="30"/>
                <w:lang w:val="en-US" w:eastAsia="en-US"/>
              </w:rPr>
            </w:pPr>
            <w:r>
              <w:rPr>
                <w:rFonts w:hint="eastAsia" w:ascii="仿宋_GB2312" w:hAnsi="仿宋_GB2312" w:eastAsia="仿宋_GB2312" w:cs="仿宋_GB2312"/>
                <w:b/>
                <w:bCs/>
                <w:spacing w:val="7"/>
                <w:sz w:val="30"/>
                <w:szCs w:val="30"/>
                <w:lang w:val="en-US" w:eastAsia="en-US"/>
              </w:rPr>
              <w:t>评价方法</w:t>
            </w:r>
          </w:p>
        </w:tc>
        <w:tc>
          <w:tcPr>
            <w:tcW w:w="4875" w:type="dxa"/>
            <w:vAlign w:val="center"/>
          </w:tcPr>
          <w:p>
            <w:pPr>
              <w:pStyle w:val="14"/>
              <w:keepNext w:val="0"/>
              <w:keepLines w:val="0"/>
              <w:pageBreakBefore w:val="0"/>
              <w:widowControl w:val="0"/>
              <w:shd w:val="clear" w:color="auto" w:fill="auto"/>
              <w:kinsoku/>
              <w:wordWrap/>
              <w:overflowPunct/>
              <w:topLinePunct w:val="0"/>
              <w:autoSpaceDE/>
              <w:autoSpaceDN/>
              <w:bidi w:val="0"/>
              <w:spacing w:before="29" w:line="204" w:lineRule="auto"/>
              <w:ind w:left="68"/>
              <w:jc w:val="center"/>
              <w:rPr>
                <w:rFonts w:hint="eastAsia" w:ascii="仿宋_GB2312" w:hAnsi="仿宋_GB2312" w:eastAsia="仿宋_GB2312" w:cs="仿宋_GB2312"/>
                <w:b/>
                <w:bCs/>
                <w:spacing w:val="7"/>
                <w:sz w:val="30"/>
                <w:szCs w:val="30"/>
                <w:lang w:val="en-US" w:eastAsia="en-US"/>
              </w:rPr>
            </w:pPr>
            <w:r>
              <w:rPr>
                <w:rFonts w:hint="eastAsia" w:ascii="仿宋_GB2312" w:hAnsi="仿宋_GB2312" w:eastAsia="仿宋_GB2312" w:cs="仿宋_GB2312"/>
                <w:b/>
                <w:bCs/>
                <w:spacing w:val="7"/>
                <w:sz w:val="30"/>
                <w:szCs w:val="30"/>
                <w:lang w:val="en-US" w:eastAsia="en-US"/>
              </w:rPr>
              <w:t>评价指标</w:t>
            </w:r>
          </w:p>
        </w:tc>
        <w:tc>
          <w:tcPr>
            <w:tcW w:w="1417" w:type="dxa"/>
            <w:vAlign w:val="center"/>
          </w:tcPr>
          <w:p>
            <w:pPr>
              <w:pStyle w:val="14"/>
              <w:keepNext w:val="0"/>
              <w:keepLines w:val="0"/>
              <w:pageBreakBefore w:val="0"/>
              <w:widowControl w:val="0"/>
              <w:shd w:val="clear" w:color="auto" w:fill="auto"/>
              <w:kinsoku/>
              <w:wordWrap/>
              <w:overflowPunct/>
              <w:topLinePunct w:val="0"/>
              <w:autoSpaceDE/>
              <w:autoSpaceDN/>
              <w:bidi w:val="0"/>
              <w:spacing w:before="29" w:line="204" w:lineRule="auto"/>
              <w:ind w:left="68"/>
              <w:jc w:val="center"/>
              <w:rPr>
                <w:rFonts w:hint="eastAsia" w:ascii="仿宋_GB2312" w:hAnsi="仿宋_GB2312" w:eastAsia="仿宋_GB2312" w:cs="仿宋_GB2312"/>
                <w:b/>
                <w:bCs/>
                <w:spacing w:val="7"/>
                <w:sz w:val="30"/>
                <w:szCs w:val="30"/>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restart"/>
            <w:tcBorders>
              <w:bottom w:val="nil"/>
            </w:tcBorders>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基本药物由基层医疗卫生机构代购及零差率销售管理</w:t>
            </w:r>
          </w:p>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30分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65" w:type="dxa"/>
            <w:vMerge w:val="restart"/>
            <w:tcBorders>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从村卫生室的基本药物中随机抽取10种药品</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医师处方和药库货架各5种</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发现非基层医疗卫生机构代购或加价销售每个品种扣3分。</w:t>
            </w: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抽查药品数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非基层医疗卫生机构代购药品数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continue"/>
            <w:tcBorders>
              <w:top w:val="nil"/>
            </w:tcBorders>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加价销售药品数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restart"/>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药品采购台账</w:t>
            </w:r>
          </w:p>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20分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65"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未建立村卫生室基药代购制度扣20分，未建立符合要求的村卫生室药品采购台账</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台账应有药品的各项基本信息、采购时间等并附发票或随货同行联</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扣15分。建立台账但发现货架或处方中抽取的基本药物有不在台帐中或价格不符的每处扣3分，最多扣12分。村卫生室采购使用全</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区</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确定的增补议价药品</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未实行单独登记的扣</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1</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分，采购使用增补议价药品超过本村卫生室年度网上采购药品总金额8%的扣</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2</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分。</w:t>
            </w: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是否建立村卫生室基药代购制度</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continue"/>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是否建立符合要求的村卫生室药品采购台账</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continue"/>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是否发现货架或处方中抽取的基本药物有不在台帐中或价格不符</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continue"/>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default" w:ascii="仿宋_GB2312" w:hAnsi="仿宋_GB2312" w:eastAsia="仿宋_GB2312" w:cs="仿宋_GB2312"/>
                <w:color w:val="000000"/>
                <w:spacing w:val="-1"/>
                <w:w w:val="100"/>
                <w:position w:val="0"/>
                <w:sz w:val="21"/>
                <w:szCs w:val="21"/>
                <w:shd w:val="clear" w:color="auto" w:fill="auto"/>
                <w:lang w:val="en-US" w:eastAsia="zh-CN"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增补议价药品未按议定价格采购使用</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、采购金额占比</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restart"/>
            <w:tcBorders>
              <w:bottom w:val="nil"/>
            </w:tcBorders>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药品合理使用</w:t>
            </w:r>
          </w:p>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3</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0</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65" w:type="dxa"/>
            <w:vMerge w:val="restart"/>
            <w:tcBorders>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抽查村卫生室20张</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2024</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年处方，进行处方点评，如存在不合理处方，不规范处方每张扣1分，用药不适宜处方每张扣2分，超常处方每张扣3分，最多扣3</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0</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分。</w:t>
            </w: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点评处方数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不规范处方数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用药不适宜处方数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continue"/>
            <w:tcBorders>
              <w:top w:val="nil"/>
              <w:bottom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nil"/>
              <w:bottom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超常处方数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restart"/>
            <w:tcBorders>
              <w:top w:val="nil"/>
            </w:tcBorders>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zh-CN"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明码标价与门诊登记规范</w:t>
            </w:r>
          </w:p>
          <w:p>
            <w:pPr>
              <w:keepNext w:val="0"/>
              <w:keepLines w:val="0"/>
              <w:pageBreakBefore w:val="0"/>
              <w:widowControl w:val="0"/>
              <w:shd w:val="clear" w:color="auto" w:fill="auto"/>
              <w:kinsoku/>
              <w:wordWrap/>
              <w:overflowPunct/>
              <w:topLinePunct w:val="0"/>
              <w:autoSpaceDE/>
              <w:autoSpaceDN/>
              <w:bidi w:val="0"/>
              <w:spacing w:before="0"/>
              <w:ind w:right="0"/>
              <w:jc w:val="center"/>
              <w:rPr>
                <w:rFonts w:hint="default" w:ascii="仿宋_GB2312" w:hAnsi="仿宋_GB2312" w:eastAsia="仿宋_GB2312" w:cs="仿宋_GB2312"/>
                <w:color w:val="000000"/>
                <w:spacing w:val="0"/>
                <w:w w:val="100"/>
                <w:position w:val="0"/>
                <w:sz w:val="21"/>
                <w:szCs w:val="21"/>
                <w:shd w:val="clear" w:color="auto" w:fill="auto"/>
                <w:lang w:val="en-US" w:eastAsia="zh-CN"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（10分）</w:t>
            </w:r>
          </w:p>
        </w:tc>
        <w:tc>
          <w:tcPr>
            <w:tcW w:w="6765" w:type="dxa"/>
            <w:vMerge w:val="restart"/>
            <w:tcBorders>
              <w:top w:val="nil"/>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zh-CN"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基本药物</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目录</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未公示</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、未明码标价</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扣</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3</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分，公示不全或价格不准确的扣2分</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。无门诊处方扣5分；未建立门诊病人登记扣5分；门诊处方上无药品收费明细扣2分，门诊处方与门诊病人登记相关信息不相符扣3分。门诊处方不规范或门诊病人登记不全扣2分，扣完为止。</w:t>
            </w: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default" w:ascii="仿宋_GB2312" w:hAnsi="仿宋_GB2312" w:eastAsia="仿宋_GB2312" w:cs="仿宋_GB2312"/>
                <w:color w:val="000000"/>
                <w:spacing w:val="-1"/>
                <w:w w:val="100"/>
                <w:position w:val="0"/>
                <w:sz w:val="21"/>
                <w:szCs w:val="21"/>
                <w:shd w:val="clear" w:color="auto" w:fill="auto"/>
                <w:lang w:val="en-US" w:eastAsia="zh-CN" w:bidi="ar-SA"/>
              </w:rPr>
            </w:pPr>
            <w:r>
              <w:rPr>
                <w:rFonts w:hint="eastAsia" w:ascii="仿宋_GB2312" w:hAnsi="仿宋_GB2312" w:eastAsia="仿宋_GB2312" w:cs="仿宋_GB2312"/>
                <w:color w:val="000000"/>
                <w:spacing w:val="-1"/>
                <w:w w:val="100"/>
                <w:position w:val="0"/>
                <w:sz w:val="21"/>
                <w:szCs w:val="21"/>
                <w:shd w:val="clear" w:color="auto" w:fill="auto"/>
                <w:lang w:val="en-US" w:eastAsia="zh-CN" w:bidi="ar-SA"/>
              </w:rPr>
              <w:t>药品未公示、未明码标价数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continue"/>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75"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门诊处方</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、门诊日志登记不规范数</w:t>
            </w:r>
          </w:p>
        </w:tc>
        <w:tc>
          <w:tcPr>
            <w:tcW w:w="1417"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zh-CN"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药品配备储存管理</w:t>
            </w:r>
          </w:p>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1</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0</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村卫生室基本药物配备不少于40种。发现村卫生室基本药物不足40种的，每少一种扣2分；陈列药品中存在药品过期或从药品外观就可看出明显质量问题的，每发现一种扣5分，扣完为止。</w:t>
            </w:r>
          </w:p>
        </w:tc>
        <w:tc>
          <w:tcPr>
            <w:tcW w:w="4875" w:type="dxa"/>
            <w:tcBorders>
              <w:lef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村卫生室基本药物数量</w:t>
            </w:r>
          </w:p>
        </w:tc>
        <w:tc>
          <w:tcPr>
            <w:tcW w:w="1417" w:type="dxa"/>
            <w:tcBorders>
              <w:lef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75" w:type="dxa"/>
            <w:tcBorders>
              <w:lef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陈列药品中发现存在药品过期或从药品外观就可看出明显质量问题的品种数</w:t>
            </w:r>
          </w:p>
        </w:tc>
        <w:tc>
          <w:tcPr>
            <w:tcW w:w="1417" w:type="dxa"/>
            <w:tcBorders>
              <w:lef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相关工作落实</w:t>
            </w:r>
          </w:p>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情况</w:t>
            </w:r>
          </w:p>
          <w:p>
            <w:pPr>
              <w:keepNext w:val="0"/>
              <w:keepLines w:val="0"/>
              <w:pageBreakBefore w:val="0"/>
              <w:widowControl w:val="0"/>
              <w:shd w:val="clear" w:color="auto" w:fill="auto"/>
              <w:kinsoku/>
              <w:wordWrap/>
              <w:overflowPunct/>
              <w:topLinePunct w:val="0"/>
              <w:autoSpaceDE/>
              <w:autoSpaceDN/>
              <w:bidi w:val="0"/>
              <w:spacing w:before="0"/>
              <w:ind w:right="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扣分项</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both"/>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对</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区、基层医疗卫生机构</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安排工作落实不力，问题整改不到位，</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不配合基层医疗卫生机构工作的，</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上报情况或数据存在明显错误的，可根据情况扣1至10分。</w:t>
            </w:r>
          </w:p>
        </w:tc>
        <w:tc>
          <w:tcPr>
            <w:tcW w:w="4875" w:type="dxa"/>
            <w:tcBorders>
              <w:lef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1417" w:type="dxa"/>
            <w:tcBorders>
              <w:lef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exact"/>
              <w:ind w:left="0" w:right="0"/>
              <w:jc w:val="center"/>
              <w:textAlignment w:val="baseline"/>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r>
    </w:tbl>
    <w:p>
      <w:pPr>
        <w:keepNext w:val="0"/>
        <w:keepLines w:val="0"/>
        <w:pageBreakBefore w:val="0"/>
        <w:widowControl w:val="0"/>
        <w:kinsoku/>
        <w:wordWrap/>
        <w:overflowPunct/>
        <w:topLinePunct w:val="0"/>
        <w:autoSpaceDE/>
        <w:autoSpaceDN/>
        <w:bidi w:val="0"/>
        <w:rPr>
          <w:rFonts w:hint="eastAsia" w:ascii="仿宋" w:hAnsi="仿宋" w:eastAsia="仿宋" w:cs="仿宋"/>
          <w:color w:val="000000"/>
          <w:spacing w:val="0"/>
          <w:w w:val="100"/>
          <w:position w:val="0"/>
          <w:sz w:val="22"/>
          <w:szCs w:val="22"/>
          <w:shd w:val="clear" w:color="auto" w:fill="auto"/>
          <w:lang w:val="en-US" w:eastAsia="en-US" w:bidi="ar-SA"/>
        </w:rPr>
      </w:pPr>
      <w:bookmarkStart w:id="0" w:name="_GoBack"/>
      <w:bookmarkEnd w:id="0"/>
    </w:p>
    <w:sectPr>
      <w:headerReference r:id="rId5" w:type="default"/>
      <w:footerReference r:id="rId6" w:type="default"/>
      <w:footnotePr>
        <w:numFmt w:val="decimal"/>
      </w:footnotePr>
      <w:pgSz w:w="16840" w:h="11900" w:orient="landscape"/>
      <w:pgMar w:top="1191" w:right="1519" w:bottom="1020" w:left="1519" w:header="726" w:footer="907" w:gutter="0"/>
      <w:pgNumType w:fmt="numberInDash"/>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10EE469C"/>
    <w:rsid w:val="0644162B"/>
    <w:rsid w:val="078863B7"/>
    <w:rsid w:val="08F97D45"/>
    <w:rsid w:val="10EE469C"/>
    <w:rsid w:val="4B4734B2"/>
    <w:rsid w:val="4BAB3DCF"/>
    <w:rsid w:val="5E3E26AF"/>
    <w:rsid w:val="61795344"/>
    <w:rsid w:val="75740A4D"/>
    <w:rsid w:val="7B294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spacing w:line="300" w:lineRule="auto"/>
      <w:ind w:firstLine="482" w:firstLineChars="200"/>
    </w:pPr>
    <w:rPr>
      <w:rFonts w:ascii="宋体" w:cs="宋体"/>
      <w:kern w:val="0"/>
      <w:sz w:val="24"/>
      <w:szCs w:val="24"/>
      <w:lang w:val="zh-CN"/>
    </w:rPr>
  </w:style>
  <w:style w:type="paragraph" w:styleId="4">
    <w:name w:val="Body Text Indent"/>
    <w:basedOn w:val="1"/>
    <w:next w:val="3"/>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val="0"/>
      <w:spacing w:before="100" w:beforeAutospacing="1"/>
      <w:ind w:leftChars="200" w:firstLine="420" w:firstLineChars="200"/>
      <w:jc w:val="both"/>
    </w:pPr>
    <w:rPr>
      <w:kern w:val="2"/>
      <w:sz w:val="21"/>
      <w:szCs w:val="21"/>
      <w:lang w:val="en-US" w:eastAsia="zh-CN" w:bidi="ar-SA"/>
    </w:rPr>
  </w:style>
  <w:style w:type="paragraph" w:customStyle="1" w:styleId="10">
    <w:name w:val="Heading #1|1"/>
    <w:basedOn w:val="1"/>
    <w:qFormat/>
    <w:uiPriority w:val="0"/>
    <w:pPr>
      <w:widowControl w:val="0"/>
      <w:shd w:val="clear" w:color="auto" w:fill="auto"/>
      <w:spacing w:before="100" w:after="460" w:line="598" w:lineRule="exact"/>
      <w:jc w:val="center"/>
      <w:outlineLvl w:val="0"/>
    </w:pPr>
    <w:rPr>
      <w:rFonts w:ascii="宋体" w:hAnsi="宋体" w:eastAsia="宋体" w:cs="宋体"/>
      <w:sz w:val="44"/>
      <w:szCs w:val="44"/>
      <w:u w:val="none"/>
      <w:shd w:val="clear" w:color="auto" w:fill="auto"/>
      <w:lang w:val="zh-TW" w:eastAsia="zh-TW" w:bidi="zh-TW"/>
    </w:rPr>
  </w:style>
  <w:style w:type="paragraph" w:customStyle="1" w:styleId="11">
    <w:name w:val="Body text|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Other|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 w:type="paragraph" w:customStyle="1" w:styleId="13">
    <w:name w:val="Table caption|1"/>
    <w:basedOn w:val="1"/>
    <w:qFormat/>
    <w:uiPriority w:val="0"/>
    <w:pPr>
      <w:widowControl w:val="0"/>
      <w:shd w:val="clear" w:color="auto" w:fill="auto"/>
    </w:pPr>
    <w:rPr>
      <w:sz w:val="26"/>
      <w:szCs w:val="26"/>
      <w:u w:val="none"/>
      <w:shd w:val="clear" w:color="auto" w:fill="auto"/>
    </w:rPr>
  </w:style>
  <w:style w:type="paragraph" w:customStyle="1" w:styleId="14">
    <w:name w:val="Table Text"/>
    <w:basedOn w:val="1"/>
    <w:semiHidden/>
    <w:qFormat/>
    <w:uiPriority w:val="0"/>
    <w:rPr>
      <w:rFonts w:ascii="宋体" w:hAnsi="宋体" w:eastAsia="宋体" w:cs="宋体"/>
      <w:sz w:val="25"/>
      <w:szCs w:val="25"/>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6338</Words>
  <Characters>6495</Characters>
  <Lines>0</Lines>
  <Paragraphs>0</Paragraphs>
  <TotalTime>32</TotalTime>
  <ScaleCrop>false</ScaleCrop>
  <LinksUpToDate>false</LinksUpToDate>
  <CharactersWithSpaces>6754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2023-07-12T08:30:00Z</dcterms:created>
  <dc:creator>曦曦</dc:creator>
  <cp:lastModifiedBy>张志超</cp:lastModifiedBy>
  <cp:lastPrinted>2024-07-02T02:44:00Z</cp:lastPrinted>
  <dcterms:modified xsi:type="dcterms:W3CDTF">2024-09-24T07:35:55Z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5AB44E48D6314E099BFD4BAE8A7B8378_13</vt:lpwstr>
  </property>
</Properties>
</file>