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1158240</wp:posOffset>
            </wp:positionH>
            <wp:positionV relativeFrom="paragraph">
              <wp:posOffset>161290</wp:posOffset>
            </wp:positionV>
            <wp:extent cx="2941955" cy="3070225"/>
            <wp:effectExtent l="0" t="0" r="0" b="0"/>
            <wp:wrapNone/>
            <wp:docPr id="1" name="图片 1" descr="国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
                    <pic:cNvPicPr>
                      <a:picLocks noChangeAspect="1"/>
                    </pic:cNvPicPr>
                  </pic:nvPicPr>
                  <pic:blipFill>
                    <a:blip r:embed="rId16"/>
                    <a:stretch>
                      <a:fillRect/>
                    </a:stretch>
                  </pic:blipFill>
                  <pic:spPr>
                    <a:xfrm>
                      <a:off x="0" y="0"/>
                      <a:ext cx="2941955" cy="307022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ascii="方正小标宋简体" w:hAnsi="方正小标宋简体" w:eastAsia="方正小标宋简体" w:cs="方正小标宋简体"/>
          <w:b/>
          <w:bCs/>
          <w:color w:val="0000FF"/>
          <w:sz w:val="72"/>
          <w:szCs w:val="144"/>
          <w:lang w:val="en-US" w:eastAsia="zh-CN"/>
        </w:rPr>
      </w:pPr>
      <w:r>
        <w:rPr>
          <w:rFonts w:hint="eastAsia" w:ascii="方正小标宋简体" w:hAnsi="方正小标宋简体" w:eastAsia="方正小标宋简体" w:cs="方正小标宋简体"/>
          <w:b/>
          <w:bCs/>
          <w:color w:val="0000FF"/>
          <w:sz w:val="72"/>
          <w:szCs w:val="144"/>
          <w:lang w:val="en-US" w:eastAsia="zh-CN"/>
        </w:rPr>
        <w:t>云 溪 区 人 民 政 府</w:t>
      </w:r>
    </w:p>
    <w:p>
      <w:pPr>
        <w:jc w:val="center"/>
        <w:rPr>
          <w:rFonts w:hint="eastAsia" w:ascii="方正小标宋简体" w:hAnsi="方正小标宋简体" w:eastAsia="方正小标宋简体" w:cs="方正小标宋简体"/>
          <w:color w:val="0000FF"/>
          <w:sz w:val="108"/>
          <w:szCs w:val="108"/>
          <w:lang w:val="en-US" w:eastAsia="zh-CN"/>
        </w:rPr>
      </w:pPr>
      <w:r>
        <w:rPr>
          <w:rFonts w:hint="eastAsia" w:ascii="方正小标宋简体" w:hAnsi="方正小标宋简体" w:eastAsia="方正小标宋简体" w:cs="方正小标宋简体"/>
          <w:color w:val="0000FF"/>
          <w:sz w:val="108"/>
          <w:szCs w:val="108"/>
          <w:lang w:val="en-US" w:eastAsia="zh-CN"/>
        </w:rPr>
        <w:t>公  报</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outlineLvl w:val="0"/>
        <w:rPr>
          <w:rFonts w:hint="eastAsia" w:ascii="微软雅黑" w:hAnsi="微软雅黑" w:eastAsia="微软雅黑" w:cs="微软雅黑"/>
          <w:sz w:val="36"/>
          <w:szCs w:val="44"/>
          <w:u w:val="none"/>
          <w:lang w:val="en-US" w:eastAsia="zh-CN"/>
        </w:rPr>
      </w:pPr>
      <w:bookmarkStart w:id="0" w:name="_Toc18785"/>
      <w:r>
        <w:rPr>
          <w:rFonts w:hint="eastAsia" w:ascii="微软雅黑" w:hAnsi="微软雅黑" w:eastAsia="微软雅黑" w:cs="微软雅黑"/>
          <w:sz w:val="36"/>
          <w:szCs w:val="44"/>
          <w:u w:val="none"/>
          <w:lang w:val="en-US" w:eastAsia="zh-CN"/>
        </w:rPr>
        <w:t>第 3期</w:t>
      </w:r>
      <w:bookmarkEnd w:id="0"/>
    </w:p>
    <w:p>
      <w:pPr>
        <w:jc w:val="center"/>
        <w:rPr>
          <w:rFonts w:hint="eastAsia" w:ascii="微软雅黑" w:hAnsi="微软雅黑" w:eastAsia="微软雅黑" w:cs="微软雅黑"/>
          <w:b/>
          <w:bCs/>
          <w:color w:val="FF0000"/>
          <w:sz w:val="52"/>
          <w:szCs w:val="72"/>
          <w:lang w:val="en-US" w:eastAsia="zh-CN"/>
        </w:rPr>
      </w:pPr>
      <w:r>
        <w:rPr>
          <w:sz w:val="40"/>
          <w:szCs w:val="28"/>
        </w:rPr>
        <mc:AlternateContent>
          <mc:Choice Requires="wps">
            <w:drawing>
              <wp:anchor distT="0" distB="0" distL="114300" distR="114300" simplePos="0" relativeHeight="251660288" behindDoc="0" locked="0" layoutInCell="1" allowOverlap="1">
                <wp:simplePos x="0" y="0"/>
                <wp:positionH relativeFrom="column">
                  <wp:posOffset>2186305</wp:posOffset>
                </wp:positionH>
                <wp:positionV relativeFrom="paragraph">
                  <wp:posOffset>24130</wp:posOffset>
                </wp:positionV>
                <wp:extent cx="882015" cy="0"/>
                <wp:effectExtent l="0" t="14605" r="13335" b="23495"/>
                <wp:wrapNone/>
                <wp:docPr id="2" name="直接连接符 2"/>
                <wp:cNvGraphicFramePr/>
                <a:graphic xmlns:a="http://schemas.openxmlformats.org/drawingml/2006/main">
                  <a:graphicData uri="http://schemas.microsoft.com/office/word/2010/wordprocessingShape">
                    <wps:wsp>
                      <wps:cNvCnPr/>
                      <wps:spPr>
                        <a:xfrm>
                          <a:off x="3186430" y="8834755"/>
                          <a:ext cx="88201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5pt;margin-top:1.9pt;height:0pt;width:69.45pt;z-index:251660288;mso-width-relative:page;mso-height-relative:page;" filled="f" stroked="t" coordsize="21600,21600" o:gfxdata="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3bINQAAAAHAQAADwAAAAAAAAABACAAAAAiAAAAZHJzL2Rvd25yZXYueG1sUEsBAhQAFAAAAAgA&#10;h07iQL3E3gTwAQAAvQMAAA4AAAAAAAAAAQAgAAAAIwEAAGRycy9lMm9Eb2MueG1sUEsFBgAAAAAG&#10;AAYAWQEAAIUFAAAAAA==&#10;">
                <v:fill on="f" focussize="0,0"/>
                <v:stroke weight="2.25pt" color="#000000 [3200]" miterlimit="8" joinstyle="miter"/>
                <v:imagedata o:title=""/>
                <o:lock v:ext="edit" aspectratio="f"/>
              </v:line>
            </w:pict>
          </mc:Fallback>
        </mc:AlternateContent>
      </w:r>
      <w:r>
        <w:rPr>
          <w:rFonts w:hint="eastAsia" w:ascii="微软雅黑" w:hAnsi="微软雅黑" w:eastAsia="微软雅黑" w:cs="微软雅黑"/>
          <w:b/>
          <w:bCs/>
          <w:color w:val="FF0000"/>
          <w:sz w:val="52"/>
          <w:szCs w:val="72"/>
          <w:lang w:val="en-US" w:eastAsia="zh-CN"/>
        </w:rPr>
        <w:t>2024</w:t>
      </w:r>
    </w:p>
    <w:p>
      <w:pPr>
        <w:rPr>
          <w:rFonts w:hint="default" w:eastAsiaTheme="minorEastAsia"/>
          <w:lang w:val="en-US" w:eastAsia="zh-CN"/>
        </w:rPr>
        <w:sectPr>
          <w:footerReference r:id="rId3" w:type="first"/>
          <w:pgSz w:w="11906" w:h="16838"/>
          <w:pgMar w:top="1440" w:right="1800" w:bottom="1440" w:left="1800" w:header="851" w:footer="992" w:gutter="0"/>
          <w:pgNumType w:fmt="decimal"/>
          <w:cols w:space="425" w:num="1"/>
          <w:docGrid w:type="lines" w:linePitch="312" w:charSpace="0"/>
        </w:sectPr>
      </w:pPr>
    </w:p>
    <w:sdt>
      <w:sdtPr>
        <w:rPr>
          <w:rFonts w:hint="eastAsia" w:ascii="方正小标宋简体" w:hAnsi="方正小标宋简体" w:eastAsia="方正小标宋简体" w:cs="方正小标宋简体"/>
          <w:kern w:val="2"/>
          <w:sz w:val="32"/>
          <w:szCs w:val="32"/>
          <w:lang w:val="en-US" w:eastAsia="zh-CN" w:bidi="ar-SA"/>
        </w:rPr>
        <w:id w:val="147473376"/>
        <w15:color w:val="DBDBDB"/>
        <w:docPartObj>
          <w:docPartGallery w:val="Table of Contents"/>
          <w:docPartUnique/>
        </w:docPartObj>
      </w:sdtPr>
      <w:sdtEndPr>
        <w:rPr>
          <w:rFonts w:hint="eastAsia" w:ascii="仿宋" w:hAnsi="仿宋" w:eastAsia="仿宋" w:cs="仿宋"/>
          <w:b w:val="0"/>
          <w:bCs w:val="0"/>
          <w:color w:val="0000FF"/>
          <w:kern w:val="2"/>
          <w:sz w:val="24"/>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760" w:lineRule="exact"/>
            <w:ind w:left="0" w:leftChars="0" w:right="0" w:rightChars="0"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w:t>
          </w:r>
          <w:r>
            <w:rPr>
              <w:rFonts w:hint="eastAsia" w:ascii="方正小标宋简体" w:hAnsi="方正小标宋简体" w:eastAsia="方正小标宋简体" w:cs="方正小标宋简体"/>
              <w:sz w:val="32"/>
              <w:szCs w:val="32"/>
              <w:lang w:val="en-US" w:eastAsia="zh-CN"/>
            </w:rPr>
            <w:t xml:space="preserve">    </w:t>
          </w:r>
          <w:r>
            <w:rPr>
              <w:rFonts w:hint="eastAsia" w:ascii="方正小标宋简体" w:hAnsi="方正小标宋简体" w:eastAsia="方正小标宋简体" w:cs="方正小标宋简体"/>
              <w:sz w:val="32"/>
              <w:szCs w:val="32"/>
            </w:rPr>
            <w:t>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【区政府文件】</w:t>
          </w:r>
        </w:p>
        <w:p>
          <w:pPr>
            <w:spacing w:line="600" w:lineRule="exact"/>
            <w:jc w:val="both"/>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岳阳市云溪区人民政府关于丁志猛等同志职务任免的通知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lang w:eastAsia="zh-CN"/>
            </w:rPr>
            <w:t>〔2024〕</w:t>
          </w: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lang w:eastAsia="zh-CN"/>
            </w:rPr>
            <w:t>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before="157" w:beforeLines="50" w:line="600" w:lineRule="exac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岳阳市云溪区人民政府关于付年初等同志职务任免的通知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lang w:eastAsia="zh-CN"/>
            </w:rPr>
            <w:t>〔2024〕</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lang w:eastAsia="zh-CN"/>
            </w:rPr>
            <w:t>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7）</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_GB2312" w:hAnsi="Times New Roman" w:eastAsia="仿宋_GB2312" w:cs="Times New Roman"/>
              <w:color w:val="0000FF"/>
              <w:sz w:val="32"/>
              <w:szCs w:val="32"/>
            </w:rPr>
          </w:pP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方正小标宋简体" w:eastAsia="方正小标宋简体"/>
              <w:color w:val="auto"/>
              <w:sz w:val="44"/>
              <w:szCs w:val="44"/>
            </w:rPr>
          </w:pPr>
          <w:r>
            <w:rPr>
              <w:rFonts w:hint="eastAsia" w:ascii="仿宋" w:hAnsi="仿宋" w:eastAsia="仿宋" w:cs="仿宋"/>
              <w:b w:val="0"/>
              <w:bCs w:val="0"/>
              <w:color w:val="auto"/>
              <w:sz w:val="24"/>
              <w:szCs w:val="24"/>
              <w:lang w:val="en-US" w:eastAsia="zh-CN"/>
            </w:rPr>
            <w:t>【区政府办文件】</w:t>
          </w:r>
        </w:p>
        <w:p>
          <w:pPr>
            <w:spacing w:line="600" w:lineRule="exact"/>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岳阳市云溪区人民政府办公室关于2024年上半年区政府重点工作推进情况的通报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（岳云政</w:t>
          </w:r>
          <w:r>
            <w:rPr>
              <w:rFonts w:hint="eastAsia" w:ascii="仿宋" w:hAnsi="仿宋" w:eastAsia="仿宋" w:cs="仿宋"/>
              <w:b w:val="0"/>
              <w:bCs w:val="0"/>
              <w:color w:val="auto"/>
              <w:sz w:val="24"/>
              <w:szCs w:val="24"/>
              <w:lang w:val="en-US" w:eastAsia="zh-CN"/>
            </w:rPr>
            <w:t>办通</w:t>
          </w:r>
          <w:r>
            <w:rPr>
              <w:rFonts w:hint="eastAsia" w:ascii="仿宋" w:hAnsi="仿宋" w:eastAsia="仿宋" w:cs="仿宋"/>
              <w:b w:val="0"/>
              <w:bCs w:val="0"/>
              <w:color w:val="auto"/>
              <w:sz w:val="24"/>
              <w:szCs w:val="24"/>
              <w:lang w:eastAsia="zh-CN"/>
            </w:rPr>
            <w:t>〔2024〕</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lang w:eastAsia="zh-CN"/>
            </w:rPr>
            <w:t>号）</w:t>
          </w:r>
          <w:r>
            <w:rPr>
              <w:rFonts w:hint="eastAsia" w:ascii="仿宋" w:hAnsi="仿宋" w:eastAsia="仿宋" w:cs="仿宋"/>
              <w:b w:val="0"/>
              <w:bCs w:val="0"/>
              <w:color w:val="auto"/>
              <w:sz w:val="24"/>
              <w:szCs w:val="24"/>
            </w:rPr>
            <w:tab/>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11）</w:t>
          </w:r>
        </w:p>
        <w:p>
          <w:pPr>
            <w:keepNext w:val="0"/>
            <w:keepLines w:val="0"/>
            <w:pageBreakBefore w:val="0"/>
            <w:widowControl w:val="0"/>
            <w:kinsoku/>
            <w:wordWrap/>
            <w:overflowPunct/>
            <w:topLinePunct w:val="0"/>
            <w:autoSpaceDE/>
            <w:autoSpaceDN/>
            <w:bidi w:val="0"/>
            <w:adjustRightInd/>
            <w:snapToGrid/>
            <w:spacing w:before="157" w:beforeLines="50" w:line="600" w:lineRule="exact"/>
            <w:jc w:val="both"/>
            <w:textAlignment w:val="auto"/>
            <w:rPr>
              <w:rFonts w:hint="eastAsia" w:ascii="方正小标宋简体" w:eastAsia="方正小标宋简体"/>
              <w:color w:val="auto"/>
              <w:sz w:val="44"/>
              <w:szCs w:val="44"/>
            </w:rPr>
          </w:pPr>
          <w:r>
            <w:rPr>
              <w:rFonts w:hint="eastAsia" w:ascii="仿宋" w:hAnsi="仿宋" w:eastAsia="仿宋" w:cs="仿宋"/>
              <w:b w:val="0"/>
              <w:bCs w:val="0"/>
              <w:color w:val="auto"/>
              <w:kern w:val="0"/>
              <w:sz w:val="24"/>
              <w:szCs w:val="24"/>
              <w:lang w:val="en-US" w:eastAsia="zh-CN"/>
            </w:rPr>
            <w:t>岳阳市云溪区人民政府办公室关于印发《云溪区贯彻落实2024年省政府大抓落实工作激励措施二十条任务分解》的通知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kern w:val="0"/>
              <w:sz w:val="24"/>
              <w:szCs w:val="24"/>
              <w:lang w:val="en-US" w:eastAsia="zh-CN"/>
            </w:rPr>
            <w:t>（岳云政办函〔2024〕9号）</w:t>
          </w:r>
          <w:r>
            <w:rPr>
              <w:rFonts w:hint="eastAsia" w:ascii="仿宋" w:hAnsi="仿宋" w:eastAsia="仿宋" w:cs="仿宋"/>
              <w:b w:val="0"/>
              <w:bCs w:val="0"/>
              <w:color w:val="auto"/>
              <w:sz w:val="24"/>
              <w:szCs w:val="24"/>
            </w:rPr>
            <w:tab/>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44）</w:t>
          </w:r>
        </w:p>
        <w:p>
          <w:pPr>
            <w:spacing w:line="640" w:lineRule="exact"/>
            <w:jc w:val="center"/>
            <w:rPr>
              <w:rFonts w:hint="eastAsia" w:ascii="仿宋_GB2312" w:hAnsi="Times New Roman" w:eastAsia="仿宋_GB2312" w:cs="Times New Roman"/>
              <w:color w:val="auto"/>
              <w:sz w:val="32"/>
              <w:szCs w:val="32"/>
            </w:rPr>
          </w:pPr>
        </w:p>
      </w:sdtContent>
    </w:sdt>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bookmarkStart w:id="1" w:name="_GoBack"/>
      <w:bookmarkEnd w:id="1"/>
    </w:p>
    <w:p>
      <w:pPr>
        <w:spacing w:line="640" w:lineRule="exact"/>
        <w:jc w:val="center"/>
        <w:rPr>
          <w:rFonts w:hint="eastAsia" w:ascii="仿宋_GB2312" w:hAnsi="Times New Roman" w:eastAsia="仿宋_GB2312" w:cs="Times New Roman"/>
          <w:sz w:val="32"/>
          <w:szCs w:val="32"/>
        </w:rPr>
      </w:pPr>
    </w:p>
    <w:p>
      <w:pPr>
        <w:spacing w:line="640" w:lineRule="exact"/>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岳云政人〔2024〕2号</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关于丁志猛等同志职务任免的通知</w:t>
      </w:r>
    </w:p>
    <w:p>
      <w:pPr>
        <w:ind w:firstLine="640" w:firstLineChars="200"/>
        <w:rPr>
          <w:rFonts w:hint="eastAsia" w:ascii="仿宋_GB2312" w:hAnsi="Times New Roman" w:eastAsia="仿宋_GB2312" w:cs="Times New Roman"/>
          <w:sz w:val="32"/>
          <w:szCs w:val="32"/>
        </w:rPr>
      </w:pPr>
    </w:p>
    <w:p>
      <w:pPr>
        <w:spacing w:line="600" w:lineRule="exac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各镇人民政府、街道办事处，绿色化工高新区管委会，区直及驻区各单位：</w:t>
      </w:r>
    </w:p>
    <w:p>
      <w:pPr>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经研究，同意：</w:t>
      </w:r>
    </w:p>
    <w:p>
      <w:pPr>
        <w:autoSpaceDE w:val="0"/>
        <w:spacing w:line="600"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丁志猛同志任区供销合作联社理事会主任；</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徐湘晖同志任区自然资源局副局长；</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牛尕理同志任区自然资源局副局长；</w:t>
      </w:r>
    </w:p>
    <w:p>
      <w:pPr>
        <w:autoSpaceDE w:val="0"/>
        <w:spacing w:line="600" w:lineRule="exact"/>
        <w:ind w:firstLine="640"/>
        <w:rPr>
          <w:rFonts w:hint="eastAsia" w:ascii="仿宋_GB2312" w:hAnsi="Times New Roman" w:eastAsia="仿宋_GB2312" w:cs="Times New Roman"/>
          <w:spacing w:val="8"/>
          <w:sz w:val="32"/>
          <w:szCs w:val="32"/>
        </w:rPr>
      </w:pPr>
      <w:r>
        <w:rPr>
          <w:rFonts w:hint="eastAsia" w:ascii="仿宋_GB2312" w:hAnsi="Times New Roman" w:eastAsia="仿宋_GB2312" w:cs="Times New Roman"/>
          <w:sz w:val="32"/>
          <w:szCs w:val="32"/>
        </w:rPr>
        <w:t>郑新</w:t>
      </w:r>
      <w:r>
        <w:rPr>
          <w:rFonts w:hint="eastAsia" w:ascii="仿宋_GB2312" w:hAnsi="Times New Roman" w:eastAsia="仿宋_GB2312" w:cs="Times New Roman"/>
          <w:spacing w:val="8"/>
          <w:sz w:val="32"/>
          <w:szCs w:val="32"/>
        </w:rPr>
        <w:t>宇同志任区统计局副局长，免去其区统计局总统计师职务；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詹文辉同志任区城市管理局副局长；</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赵志文同志任区城市管理局副局长；</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雷震同志任区医疗保障局副局长，免去其区科技和工业信息化局总经济师职务；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李琴芬同志任区数据局副局长；</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陶辉同志任区数据局副局长；</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叶崇明同志任区供销合作联社监事会副主任，免去其区人力资源和社会保障局劳动人事争议仲裁院院长职务；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黄志平同志任长岭街道办事处副主任；</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程国华同志任陆城镇综合执法大队大队长（试用期一年）；</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李凡同志任云溪街道综合执法大队大队长（试用期一年）；</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黄宏龙同志任长岭街道综合执法大队大队长（试用期一年）；</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何叶同志任松杨湖街道综合执法大队大队长（试用期一年）；</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免去施安定同志区长岭炼化协作协调事务中心主任职务；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免去丁先波同志区应急管理局执法局局长（兼）职务；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免去黎敏同志区民政局副局长职务；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免去赵英同志区财政局总会计师职务；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免去曾嵘同志区人力资源和社会保障局劳动和社会保障监察大队大队长职务；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免去陈双辉同志区住房和城乡建设局总工程师职务；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免去刘卫军同志区交通运输局副局长职务；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免去杨杰同志区交通运输局总工程师职务；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免去陈雅同志区农业农村局总农艺师职务；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免去吴金舟同志区文化旅游广电局总工程师职务；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免去李丹同志区卫生健康局副局长职务；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免去叶新华同志区卫生健康局副局长职务；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免去付县忠同志区妇幼保健院院长职务；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免去李仕华同志区退役军人事务局副局长职务；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免去李太平同志区应急管理局专职执法副局长职务；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免去翁岳林同志区市场监督管理局云溪市场监督管理所所长职务；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免去张新军同志区城市管理和综合执法局副局长职务；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免去刘奇同志区信访局副局长职务；</w:t>
      </w:r>
    </w:p>
    <w:p>
      <w:pPr>
        <w:autoSpaceDE w:val="0"/>
        <w:spacing w:line="600" w:lineRule="exact"/>
        <w:ind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免去刘国恩同志区医疗保障局副局长职务。</w:t>
      </w:r>
    </w:p>
    <w:p>
      <w:pPr>
        <w:spacing w:line="600" w:lineRule="exact"/>
        <w:ind w:firstLine="640" w:firstLineChars="200"/>
        <w:rPr>
          <w:rFonts w:hint="eastAsia" w:ascii="仿宋_GB2312" w:hAnsi="Times New Roman" w:eastAsia="仿宋_GB2312" w:cs="Times New Roman"/>
          <w:sz w:val="32"/>
          <w:szCs w:val="32"/>
        </w:rPr>
      </w:pPr>
    </w:p>
    <w:p>
      <w:pPr>
        <w:spacing w:line="600" w:lineRule="exact"/>
        <w:ind w:firstLine="640" w:firstLineChars="200"/>
        <w:rPr>
          <w:rFonts w:hint="eastAsia" w:ascii="仿宋_GB2312" w:hAnsi="Times New Roman" w:eastAsia="仿宋_GB2312" w:cs="Times New Roman"/>
          <w:sz w:val="32"/>
          <w:szCs w:val="32"/>
        </w:rPr>
      </w:pPr>
    </w:p>
    <w:p>
      <w:pPr>
        <w:spacing w:line="600" w:lineRule="exact"/>
        <w:ind w:firstLine="640" w:firstLineChars="200"/>
        <w:rPr>
          <w:rFonts w:hint="eastAsia" w:ascii="仿宋_GB2312" w:hAnsi="Times New Roman" w:eastAsia="仿宋_GB2312" w:cs="Times New Roman"/>
          <w:sz w:val="32"/>
          <w:szCs w:val="32"/>
        </w:rPr>
      </w:pPr>
    </w:p>
    <w:p>
      <w:pPr>
        <w:spacing w:line="600" w:lineRule="exact"/>
        <w:ind w:firstLine="4640" w:firstLineChars="145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w:t>
      </w:r>
    </w:p>
    <w:p>
      <w:pPr>
        <w:wordWrap w:val="0"/>
        <w:spacing w:line="600" w:lineRule="exact"/>
        <w:ind w:right="1260" w:rightChars="600"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2024年7月29日</w:t>
      </w:r>
    </w:p>
    <w:p>
      <w:pPr>
        <w:spacing w:line="600" w:lineRule="exact"/>
        <w:ind w:right="1260" w:rightChars="600" w:firstLine="640" w:firstLineChars="200"/>
        <w:jc w:val="right"/>
        <w:rPr>
          <w:rFonts w:hint="eastAsia" w:ascii="仿宋_GB2312" w:hAnsi="Times New Roman" w:eastAsia="仿宋_GB2312" w:cs="Times New Roman"/>
          <w:sz w:val="32"/>
          <w:szCs w:val="32"/>
        </w:rPr>
      </w:pPr>
    </w:p>
    <w:p>
      <w:pPr>
        <w:spacing w:line="600" w:lineRule="exact"/>
        <w:ind w:right="1260" w:rightChars="600" w:firstLine="640" w:firstLineChars="200"/>
        <w:jc w:val="righ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ascii="仿宋_GB2312" w:eastAsia="仿宋_GB2312"/>
          <w:sz w:val="32"/>
          <w:szCs w:val="32"/>
        </w:rPr>
        <w:sectPr>
          <w:footerReference r:id="rId4" w:type="default"/>
          <w:footerReference r:id="rId5" w:type="even"/>
          <w:pgSz w:w="11907" w:h="16840" w:orient="landscape"/>
          <w:pgMar w:top="1531" w:right="1531" w:bottom="1531" w:left="1531" w:header="851" w:footer="1247" w:gutter="0"/>
          <w:cols w:space="720" w:num="1"/>
          <w:docGrid w:type="linesAndChars" w:linePitch="312" w:charSpace="0"/>
        </w:sect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060" w:type="dxa"/>
            <w:noWrap w:val="0"/>
            <w:vAlign w:val="top"/>
          </w:tcPr>
          <w:p>
            <w:pPr>
              <w:ind w:firstLine="280" w:firstLineChars="100"/>
              <w:rPr>
                <w:rFonts w:hint="eastAsia" w:ascii="仿宋_GB2312" w:hAnsi="Times New Roman" w:eastAsia="仿宋_GB2312" w:cs="Times New Roman"/>
                <w:sz w:val="32"/>
                <w:szCs w:val="32"/>
              </w:rPr>
            </w:pPr>
            <w:r>
              <w:rPr>
                <w:rFonts w:hint="eastAsia" w:ascii="仿宋_GB2312" w:hAnsi="Times New Roman" w:eastAsia="仿宋_GB2312" w:cs="Times New Roman"/>
                <w:sz w:val="28"/>
                <w:szCs w:val="28"/>
              </w:rPr>
              <w:t>岳阳市云溪区人民政府办公室             2024年7月29日印发</w:t>
            </w:r>
          </w:p>
        </w:tc>
      </w:tr>
    </w:tbl>
    <w:p>
      <w:pPr>
        <w:spacing w:line="20" w:lineRule="exact"/>
        <w:rPr>
          <w:rFonts w:hint="eastAsia"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before="3371" w:beforeLines="1080"/>
        <w:jc w:val="center"/>
        <w:textAlignment w:val="auto"/>
        <w:rPr>
          <w:rFonts w:hint="eastAsia" w:ascii="仿宋_GB2312"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before="3371" w:beforeLines="1080"/>
        <w:jc w:val="center"/>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岳云政人〔2024〕3号</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关于付年初等同志职务任免的通知</w:t>
      </w:r>
    </w:p>
    <w:p>
      <w:pPr>
        <w:spacing w:line="560" w:lineRule="exact"/>
        <w:ind w:firstLine="640" w:firstLineChars="200"/>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各镇人民政府、街道办事处，绿色化工高新区管委会，区直及驻区各单位：</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经研究，同意：</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付年初同志任区政府办副主任，免去其区供销合作联社监事会主任职务；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刘志国同志任区供销合作联社监事会主任（试用期一年），免去其区应急管理局副局长职务；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李静同志任区金融事务中心主任（试用期一年）；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吴金舟同志任区民政局副局长；</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张常成同志任区人力资源和社会保障局劳动人事争议仲裁院院长；</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肖玉梅同志任区卫生健康局副局长（兼）、区疾病预防控制局局长；</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詹良同志任区疾病预防控制中心主任（试用期一年）；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冯伟同志任区妇幼保健计划生育服务中心主任（试用期一年）；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陈智同志任区退役军人事务局副局长；</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朱露同志任区数据局政务服务中心主任（试用期一年）；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周宇卓同志任区市场监督管理局云溪市场监督管理所所长（试用期一年）；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陈航同志任区公路建设和养护中心副主任（试用期一年）；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叶薇同志任区金融事务中心副主任，免去其区城发建设投资集团有限责任公司副总经理职务；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卢碧波同志任区金融事务中心副主任（试用期一年）；</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邱乐平同志任区城发建设投资集团有限责任公司副总经理，免去其区重点项目服务中心副主任职务；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杨坤萍同志任区城发建设投资集团有限责任公司副总经理，免去其区重点项目服务中心副主任职务；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胡斌同志任区重点项目服务中心副主任，免去其区城发建设投资集团有限责任公司副总经理职务；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龚玉萍同志任区重点项目服务中心副主任，免去其湖南岳阳绿色化工高新技术产业开发区财政金融部副部长职务；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曾嵘同志任松杨湖街道办事处副主任；</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免去陈志刚同志区政府办副主任职务；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免去文晖同志区政府办副主任职务；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免去段程珊同志区水利局副局长职务；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免去毛迪同志湖南岳阳绿色化工高新技术产业开发区产业发展部部长职务；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免去李灯炬同志长岭街道办事处副主任职务；</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免去李可雄同志松杨湖街道办事处副主任职务。</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ind w:firstLine="4640" w:firstLineChars="145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w:t>
      </w:r>
    </w:p>
    <w:p>
      <w:pPr>
        <w:ind w:right="1260" w:rightChars="600"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2024年7月29日</w:t>
      </w:r>
    </w:p>
    <w:p>
      <w:pPr>
        <w:ind w:right="1260" w:rightChars="600" w:firstLine="640" w:firstLineChars="200"/>
        <w:jc w:val="right"/>
        <w:rPr>
          <w:rFonts w:hint="eastAsia" w:ascii="仿宋_GB2312" w:hAnsi="Times New Roman" w:eastAsia="仿宋_GB2312" w:cs="Times New Roman"/>
          <w:sz w:val="32"/>
          <w:szCs w:val="32"/>
        </w:rPr>
      </w:pPr>
    </w:p>
    <w:p>
      <w:pPr>
        <w:ind w:right="1260" w:rightChars="600" w:firstLine="640" w:firstLineChars="200"/>
        <w:jc w:val="right"/>
        <w:rPr>
          <w:rFonts w:hint="eastAsia" w:ascii="仿宋_GB2312" w:hAnsi="Times New Roman" w:eastAsia="仿宋_GB2312" w:cs="Times New Roman"/>
          <w:sz w:val="32"/>
          <w:szCs w:val="32"/>
        </w:rPr>
      </w:pPr>
    </w:p>
    <w:p>
      <w:pPr>
        <w:ind w:right="1260" w:rightChars="600" w:firstLine="640" w:firstLineChars="200"/>
        <w:jc w:val="right"/>
        <w:rPr>
          <w:rFonts w:hint="eastAsia" w:ascii="仿宋_GB2312" w:hAnsi="Times New Roman" w:eastAsia="仿宋_GB2312" w:cs="Times New Roman"/>
          <w:sz w:val="32"/>
          <w:szCs w:val="32"/>
        </w:rPr>
      </w:pPr>
    </w:p>
    <w:p>
      <w:pPr>
        <w:ind w:right="1260" w:rightChars="600" w:firstLine="640" w:firstLineChars="200"/>
        <w:jc w:val="right"/>
        <w:rPr>
          <w:rFonts w:ascii="仿宋_GB2312" w:eastAsia="仿宋_GB2312"/>
          <w:sz w:val="32"/>
          <w:szCs w:val="32"/>
        </w:rPr>
        <w:sectPr>
          <w:footerReference r:id="rId6" w:type="default"/>
          <w:footerReference r:id="rId7" w:type="even"/>
          <w:pgSz w:w="11907" w:h="16840" w:orient="landscape"/>
          <w:pgMar w:top="1531" w:right="1531" w:bottom="1531" w:left="1531" w:header="851" w:footer="1247" w:gutter="0"/>
          <w:cols w:space="720" w:num="1"/>
          <w:docGrid w:type="linesAndChars" w:linePitch="312" w:charSpace="0"/>
        </w:sectPr>
      </w:pPr>
    </w:p>
    <w:p>
      <w:pPr>
        <w:ind w:right="1260" w:rightChars="600" w:firstLine="640" w:firstLineChars="200"/>
        <w:jc w:val="righ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060" w:type="dxa"/>
            <w:noWrap w:val="0"/>
            <w:vAlign w:val="top"/>
          </w:tcPr>
          <w:p>
            <w:pPr>
              <w:ind w:firstLine="280" w:firstLineChars="100"/>
              <w:rPr>
                <w:rFonts w:hint="eastAsia" w:ascii="仿宋_GB2312" w:hAnsi="Times New Roman" w:eastAsia="仿宋_GB2312" w:cs="Times New Roman"/>
                <w:sz w:val="32"/>
                <w:szCs w:val="32"/>
              </w:rPr>
            </w:pPr>
            <w:r>
              <w:rPr>
                <w:rFonts w:hint="eastAsia" w:ascii="仿宋_GB2312" w:hAnsi="Times New Roman" w:eastAsia="仿宋_GB2312" w:cs="Times New Roman"/>
                <w:sz w:val="28"/>
                <w:szCs w:val="28"/>
              </w:rPr>
              <w:t>岳阳市云溪区人民政府办公室              2024年7月29日印发</w:t>
            </w:r>
          </w:p>
        </w:tc>
      </w:tr>
    </w:tbl>
    <w:p>
      <w:pPr>
        <w:spacing w:line="20" w:lineRule="exact"/>
        <w:rPr>
          <w:rFonts w:hint="eastAsia"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before="3121" w:beforeLines="1000"/>
        <w:jc w:val="center"/>
        <w:textAlignment w:val="auto"/>
        <w:rPr>
          <w:rFonts w:hint="eastAsia" w:ascii="仿宋_GB2312" w:hAnsi="Times New Roman" w:eastAsia="仿宋_GB2312" w:cs="Times New Roman"/>
          <w:sz w:val="32"/>
          <w:szCs w:val="32"/>
        </w:rPr>
      </w:pPr>
    </w:p>
    <w:p>
      <w:pPr>
        <w:spacing w:line="520" w:lineRule="exact"/>
        <w:jc w:val="center"/>
        <w:rPr>
          <w:rFonts w:hint="eastAsia" w:ascii="方正小标宋简体" w:hAnsi="Times New Roman" w:eastAsia="方正小标宋简体" w:cs="Times New Roman"/>
          <w:color w:val="000000"/>
          <w:sz w:val="44"/>
          <w:szCs w:val="44"/>
        </w:rPr>
      </w:pPr>
    </w:p>
    <w:p>
      <w:pPr>
        <w:widowControl w:val="0"/>
        <w:spacing w:line="520" w:lineRule="exact"/>
        <w:ind w:firstLine="0" w:firstLineChars="0"/>
        <w:jc w:val="center"/>
        <w:rPr>
          <w:rFonts w:hint="eastAsia" w:ascii="Times New Roman" w:hAnsi="Times New Roman" w:eastAsia="宋体" w:cs="Times New Roman"/>
          <w:color w:val="000000"/>
          <w:kern w:val="2"/>
          <w:sz w:val="21"/>
          <w:szCs w:val="20"/>
          <w:lang w:val="zh-CN" w:eastAsia="zh-CN" w:bidi="ar-SA"/>
        </w:rPr>
      </w:pPr>
    </w:p>
    <w:p>
      <w:pPr>
        <w:widowControl w:val="0"/>
        <w:spacing w:line="520" w:lineRule="exact"/>
        <w:ind w:firstLine="0" w:firstLineChars="0"/>
        <w:jc w:val="center"/>
        <w:rPr>
          <w:rFonts w:hint="eastAsia" w:ascii="Times New Roman" w:hAnsi="Times New Roman" w:eastAsia="宋体" w:cs="Times New Roman"/>
          <w:color w:val="000000"/>
          <w:kern w:val="2"/>
          <w:sz w:val="21"/>
          <w:szCs w:val="20"/>
          <w:lang w:val="zh-CN" w:eastAsia="zh-CN" w:bidi="ar-SA"/>
        </w:rPr>
      </w:pPr>
    </w:p>
    <w:p>
      <w:pPr>
        <w:widowControl w:val="0"/>
        <w:spacing w:line="520" w:lineRule="exact"/>
        <w:ind w:firstLine="0" w:firstLineChars="0"/>
        <w:jc w:val="center"/>
        <w:rPr>
          <w:rFonts w:hint="eastAsia" w:ascii="Times New Roman" w:hAnsi="Times New Roman" w:eastAsia="宋体" w:cs="Times New Roman"/>
          <w:color w:val="000000"/>
          <w:kern w:val="2"/>
          <w:sz w:val="21"/>
          <w:szCs w:val="20"/>
          <w:lang w:val="zh-CN" w:eastAsia="zh-CN" w:bidi="ar-SA"/>
        </w:rPr>
      </w:pPr>
    </w:p>
    <w:p>
      <w:pPr>
        <w:spacing w:line="600" w:lineRule="exact"/>
        <w:jc w:val="right"/>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岳云政办通〔2024〕3号</w:t>
      </w:r>
    </w:p>
    <w:p>
      <w:pPr>
        <w:spacing w:line="560" w:lineRule="exact"/>
        <w:jc w:val="center"/>
        <w:rPr>
          <w:rFonts w:hint="eastAsia" w:ascii="宋体" w:hAnsi="宋体" w:eastAsia="宋体" w:cs="Times New Roman"/>
          <w:color w:val="000000"/>
          <w:sz w:val="44"/>
          <w:szCs w:val="44"/>
        </w:rPr>
      </w:pP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岳阳市云溪区人民政府办公室</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关于2024年上半年区政府重点工作</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推进情况的通报</w:t>
      </w:r>
    </w:p>
    <w:p>
      <w:pPr>
        <w:spacing w:line="560" w:lineRule="exact"/>
        <w:rPr>
          <w:rFonts w:hint="eastAsia" w:ascii="仿宋_GB2312" w:hAnsi="Times New Roman" w:eastAsia="仿宋_GB2312" w:cs="Times New Roman"/>
          <w:color w:val="000000"/>
          <w:sz w:val="32"/>
          <w:szCs w:val="32"/>
        </w:rPr>
      </w:pPr>
    </w:p>
    <w:p>
      <w:pPr>
        <w:widowControl w:val="0"/>
        <w:spacing w:line="540" w:lineRule="exact"/>
        <w:ind w:firstLine="0" w:firstLineChars="0"/>
        <w:jc w:val="both"/>
        <w:rPr>
          <w:rFonts w:hint="eastAsia" w:ascii="Times New Roman" w:hAnsi="Times New Roman" w:eastAsia="仿宋_GB2312" w:cs="Times New Roman"/>
          <w:color w:val="000000"/>
          <w:kern w:val="2"/>
          <w:sz w:val="21"/>
          <w:szCs w:val="20"/>
          <w:lang w:val="zh-CN" w:eastAsia="zh-CN" w:bidi="ar-SA"/>
        </w:rPr>
      </w:pPr>
      <w:r>
        <w:rPr>
          <w:rFonts w:hint="eastAsia" w:ascii="仿宋_GB2312" w:hAnsi="Times New Roman" w:eastAsia="仿宋_GB2312" w:cs="Times New Roman"/>
          <w:color w:val="000000"/>
          <w:kern w:val="2"/>
          <w:sz w:val="32"/>
          <w:szCs w:val="32"/>
          <w:lang w:val="zh-CN" w:eastAsia="zh-CN" w:bidi="ar-SA"/>
        </w:rPr>
        <w:t>各镇人民政府、街道办事处，绿色化工高新区管委会，区直及驻区各单位：</w:t>
      </w:r>
    </w:p>
    <w:p>
      <w:pPr>
        <w:spacing w:line="54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为贯彻党的二十届三中全会精神，深入分析研判当前经济形势，扎实推进2024年全区各项重点工作，确保年初各项目标任务顺利实现，根据区政府年初工作安排，区政府督查室对《2024年&lt;政府工作报告&gt;目标任务分解》目标任务及省市区重点民生实事推进落实情况进行了实地督查。现将有关情况通报如下：</w:t>
      </w:r>
    </w:p>
    <w:p>
      <w:pPr>
        <w:spacing w:line="540" w:lineRule="exact"/>
        <w:ind w:firstLine="640" w:firstLineChars="200"/>
        <w:rPr>
          <w:rFonts w:hint="eastAsia" w:ascii="黑体" w:hAnsi="Times New Roman" w:eastAsia="黑体" w:cs="Times New Roman"/>
          <w:color w:val="000000"/>
          <w:sz w:val="32"/>
          <w:szCs w:val="32"/>
        </w:rPr>
      </w:pPr>
      <w:r>
        <w:rPr>
          <w:rFonts w:hint="eastAsia" w:ascii="黑体" w:hAnsi="Times New Roman" w:eastAsia="黑体" w:cs="Times New Roman"/>
          <w:color w:val="000000"/>
          <w:sz w:val="32"/>
          <w:szCs w:val="32"/>
        </w:rPr>
        <w:t>一、基本情况</w:t>
      </w:r>
    </w:p>
    <w:p>
      <w:pPr>
        <w:spacing w:line="540" w:lineRule="exact"/>
        <w:ind w:firstLine="643" w:firstLineChars="200"/>
        <w:rPr>
          <w:rFonts w:hint="eastAsia" w:ascii="仿宋_GB2312" w:hAnsi="Times New Roman" w:eastAsia="仿宋_GB2312" w:cs="仿宋_GB2312"/>
          <w:color w:val="000000"/>
          <w:sz w:val="32"/>
          <w:szCs w:val="32"/>
        </w:rPr>
      </w:pPr>
      <w:r>
        <w:rPr>
          <w:rFonts w:hint="eastAsia" w:ascii="楷体_GB2312" w:hAnsi="楷体" w:eastAsia="楷体_GB2312" w:cs="楷体"/>
          <w:b/>
          <w:color w:val="000000"/>
          <w:sz w:val="32"/>
          <w:szCs w:val="32"/>
        </w:rPr>
        <w:t>《2024年&lt;政府工作报告&gt;目标任务分解》（含区级民生实事）</w:t>
      </w:r>
      <w:r>
        <w:rPr>
          <w:rFonts w:hint="eastAsia" w:ascii="楷体_GB2312" w:hAnsi="楷体" w:eastAsia="楷体_GB2312" w:cs="楷体"/>
          <w:b/>
          <w:color w:val="000000"/>
          <w:sz w:val="32"/>
          <w:szCs w:val="32"/>
          <w:lang w:eastAsia="en-US"/>
        </w:rPr>
        <w:t>8</w:t>
      </w:r>
      <w:r>
        <w:rPr>
          <w:rFonts w:hint="eastAsia" w:ascii="楷体_GB2312" w:hAnsi="楷体" w:eastAsia="楷体_GB2312" w:cs="楷体"/>
          <w:b/>
          <w:color w:val="000000"/>
          <w:sz w:val="32"/>
          <w:szCs w:val="32"/>
        </w:rPr>
        <w:t>0项目标任务中，</w:t>
      </w:r>
      <w:r>
        <w:rPr>
          <w:rFonts w:hint="eastAsia" w:ascii="仿宋_GB2312" w:hAnsi="Times New Roman" w:eastAsia="仿宋_GB2312" w:cs="Times New Roman"/>
          <w:color w:val="000000"/>
          <w:sz w:val="32"/>
          <w:szCs w:val="32"/>
        </w:rPr>
        <w:t>已完成年度目标任务的7项，占8.8%；达到时间与进度同步的64项，占80%；进展相对滞后的9项，占11.2%。</w:t>
      </w:r>
      <w:r>
        <w:rPr>
          <w:rFonts w:hint="eastAsia" w:ascii="楷体_GB2312" w:hAnsi="楷体" w:eastAsia="楷体_GB2312" w:cs="楷体"/>
          <w:b/>
          <w:color w:val="000000"/>
          <w:sz w:val="32"/>
          <w:szCs w:val="32"/>
        </w:rPr>
        <w:t>46件省市重点民生实事中，</w:t>
      </w:r>
      <w:r>
        <w:rPr>
          <w:rFonts w:hint="eastAsia" w:ascii="仿宋_GB2312" w:hAnsi="Times New Roman" w:eastAsia="仿宋_GB2312" w:cs="Times New Roman"/>
          <w:color w:val="000000"/>
          <w:sz w:val="32"/>
          <w:szCs w:val="32"/>
        </w:rPr>
        <w:t>已完成年度目标任务的15件，占32.6%；达到时间与进度同步的31件，占67.4%。其中</w:t>
      </w:r>
      <w:r>
        <w:rPr>
          <w:rFonts w:hint="eastAsia" w:ascii="楷体_GB2312" w:hAnsi="楷体" w:eastAsia="楷体_GB2312" w:cs="楷体"/>
          <w:b/>
          <w:color w:val="000000"/>
          <w:sz w:val="32"/>
          <w:szCs w:val="32"/>
        </w:rPr>
        <w:t>35件省级重点民生实事中，</w:t>
      </w:r>
      <w:r>
        <w:rPr>
          <w:rFonts w:hint="eastAsia" w:ascii="仿宋_GB2312" w:hAnsi="Times New Roman" w:eastAsia="仿宋_GB2312" w:cs="Times New Roman"/>
          <w:color w:val="000000"/>
          <w:sz w:val="32"/>
          <w:szCs w:val="32"/>
        </w:rPr>
        <w:t>已完成年度目标任务的12件，占34.3%；达到时间与进度同步的23件，占65.7%；</w:t>
      </w:r>
      <w:r>
        <w:rPr>
          <w:rFonts w:hint="eastAsia" w:ascii="楷体_GB2312" w:hAnsi="楷体" w:eastAsia="楷体_GB2312" w:cs="楷体"/>
          <w:b/>
          <w:color w:val="000000"/>
          <w:sz w:val="32"/>
          <w:szCs w:val="32"/>
        </w:rPr>
        <w:t>11件市级重点民生实事中，</w:t>
      </w:r>
      <w:r>
        <w:rPr>
          <w:rFonts w:hint="eastAsia" w:ascii="仿宋_GB2312" w:hAnsi="Times New Roman" w:eastAsia="仿宋_GB2312" w:cs="Times New Roman"/>
          <w:color w:val="000000"/>
          <w:sz w:val="32"/>
          <w:szCs w:val="32"/>
        </w:rPr>
        <w:t>已完成年度目标任务的3件，占27.3%；达到时间与进度同步的8件，占72.7%。</w:t>
      </w:r>
      <w:r>
        <w:rPr>
          <w:rFonts w:hint="eastAsia" w:ascii="楷体_GB2312" w:hAnsi="楷体" w:eastAsia="楷体_GB2312" w:cs="楷体"/>
          <w:b/>
          <w:color w:val="000000"/>
          <w:sz w:val="32"/>
          <w:szCs w:val="32"/>
        </w:rPr>
        <w:t>17项省政府大抓落实工作激励措施，</w:t>
      </w:r>
      <w:r>
        <w:rPr>
          <w:rFonts w:hint="eastAsia" w:ascii="仿宋_GB2312" w:hAnsi="Times New Roman" w:eastAsia="仿宋_GB2312" w:cs="仿宋_GB2312"/>
          <w:color w:val="000000"/>
          <w:sz w:val="32"/>
          <w:szCs w:val="32"/>
        </w:rPr>
        <w:t>相关实施细则正在陆续出台，相关部门单位正在积极对接、准备。</w:t>
      </w:r>
    </w:p>
    <w:p>
      <w:pPr>
        <w:spacing w:line="540" w:lineRule="exact"/>
        <w:ind w:firstLine="643" w:firstLineChars="200"/>
        <w:rPr>
          <w:rFonts w:hint="eastAsia" w:ascii="楷体_GB2312" w:hAnsi="楷体" w:eastAsia="楷体_GB2312" w:cs="楷体"/>
          <w:b/>
          <w:color w:val="000000"/>
          <w:sz w:val="32"/>
          <w:szCs w:val="32"/>
        </w:rPr>
      </w:pPr>
      <w:r>
        <w:rPr>
          <w:rFonts w:hint="eastAsia" w:ascii="楷体_GB2312" w:hAnsi="楷体" w:eastAsia="楷体_GB2312" w:cs="楷体"/>
          <w:b/>
          <w:color w:val="000000"/>
          <w:sz w:val="32"/>
          <w:szCs w:val="32"/>
        </w:rPr>
        <w:t>（一）《2024年&lt;政府工作报告&gt;目标任务分解》目标任务进展情况</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经济指标方面。</w:t>
      </w:r>
      <w:r>
        <w:rPr>
          <w:rFonts w:hint="eastAsia" w:ascii="仿宋_GB2312" w:hAnsi="Times New Roman" w:eastAsia="仿宋_GB2312" w:cs="Times New Roman"/>
          <w:color w:val="000000"/>
          <w:sz w:val="32"/>
          <w:szCs w:val="32"/>
        </w:rPr>
        <w:t>1-6月，完成地区生产总值136.97亿元，增长2.5%；城乡居民人均可支配收入实现收入27081元，增长4.0%；规模工业增加值增长4.3%；固定资产投资增长-19.6%；社会消费品零售总额完成24.78亿元，增长3.2%。1-7月，全区完成一般公共预算地方收入3.26亿元，与去年同期基本持平；其中，税收收入2.49亿，税收收入占一般公共预算地方收入的比重为76.4%。全区争项争资完成任务14.23亿元，累计到位全口径资金10.89亿元，完成区定任务92.1%，完成市定任务81.91%。</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产业发展方面。</w:t>
      </w:r>
      <w:r>
        <w:rPr>
          <w:rFonts w:hint="eastAsia" w:ascii="仿宋_GB2312" w:hAnsi="Times New Roman" w:eastAsia="仿宋_GB2312" w:cs="Times New Roman"/>
          <w:color w:val="000000"/>
          <w:sz w:val="32"/>
          <w:szCs w:val="32"/>
        </w:rPr>
        <w:t>重点项目推进有序，</w:t>
      </w:r>
      <w:r>
        <w:rPr>
          <w:rFonts w:hint="eastAsia" w:ascii="仿宋_GB2312" w:hAnsi="Times New Roman" w:eastAsia="仿宋_GB2312" w:cs="仿宋_GB2312"/>
          <w:color w:val="000000"/>
          <w:sz w:val="32"/>
          <w:szCs w:val="32"/>
        </w:rPr>
        <w:t>乙烯项目炼油配套改造工程总体设计和项目环评、安评已获批复，乙烯工程总体设计完成审查，基础设计启动相关工作</w:t>
      </w:r>
      <w:r>
        <w:rPr>
          <w:rFonts w:hint="eastAsia" w:ascii="仿宋_GB2312" w:hAnsi="Times New Roman" w:eastAsia="仿宋_GB2312" w:cs="Times New Roman"/>
          <w:color w:val="000000"/>
          <w:sz w:val="32"/>
          <w:szCs w:val="32"/>
        </w:rPr>
        <w:t>；</w:t>
      </w:r>
      <w:r>
        <w:rPr>
          <w:rFonts w:hint="eastAsia" w:ascii="仿宋_GB2312" w:hAnsi="Times New Roman" w:eastAsia="仿宋_GB2312" w:cs="仿宋_GB2312"/>
          <w:color w:val="000000"/>
          <w:sz w:val="32"/>
          <w:szCs w:val="32"/>
          <w:lang w:bidi="ar"/>
        </w:rPr>
        <w:t>己内酰胺项目两条生产线满负荷生产</w:t>
      </w:r>
      <w:r>
        <w:rPr>
          <w:rFonts w:hint="eastAsia" w:ascii="仿宋_GB2312" w:hAnsi="Times New Roman" w:eastAsia="仿宋_GB2312" w:cs="Times New Roman"/>
          <w:color w:val="000000"/>
          <w:sz w:val="32"/>
          <w:szCs w:val="32"/>
        </w:rPr>
        <w:t>；天辰新材料项目正在办理国土、林业等前期手续；铁水集运煤炭储备项目一期工程预计年底全面完工；45万吨/年尼龙-6聚合项目一期预计10月底投产。1-6月，全区新签约项目29个，签约投资额97.43亿元；新开工项目29个，完成投资额446.5亿元；新竣工投产项目20个，完成投资额29.2亿元。规划体系日趋完善，岳阳现代石化产业园公用工程配套规划和岳阳市现代化工物流发展报告基本完成。强化园区要素保障，天辰大道、东环路、西环路等园区道路提质改造抓紧办理前期手续，长岭片区水系改造工程正在进行临建施工；云溪片区、长岭片区供水、供电、燃气、蒸汽、污水处理、物料管廊等基础设施和公用工程建设正按照时序推进。全力提升科创水平，新增创新型中小企业8家、专精特新中小企业6家；长炼新材料化工催化材料中试基地签订中试服务合同8项，合同成交额达1998.8万元。</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城乡建设方面。</w:t>
      </w:r>
      <w:r>
        <w:rPr>
          <w:rFonts w:hint="eastAsia" w:ascii="仿宋_GB2312" w:hAnsi="Times New Roman" w:eastAsia="仿宋_GB2312" w:cs="Times New Roman"/>
          <w:color w:val="000000"/>
          <w:sz w:val="32"/>
          <w:szCs w:val="32"/>
        </w:rPr>
        <w:t>城南新区四路围合地块用地完成拆迁，正在积极招商引资。升级打造陆城湖鲜特色小镇，与岳农集团签约共建陆城镇湖鲜特色小镇及文旅古镇乡村旅游综合体项目。乙烯项目配套3条道路全部开工；S208、S209道路交通安全设施精细化提升工程全面完工；疏港公路（三期）已完成松杨湖一桥栈桥搭建，正在进行水下桩基施工。常态化开展市容秩序整治，整治店外作业160余家，清理牛皮癣1300余份。</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民生改善方面。</w:t>
      </w:r>
      <w:r>
        <w:rPr>
          <w:rFonts w:hint="eastAsia" w:ascii="仿宋_GB2312" w:hAnsi="Times New Roman" w:eastAsia="仿宋_GB2312" w:cs="Times New Roman"/>
          <w:color w:val="000000"/>
          <w:sz w:val="32"/>
          <w:szCs w:val="32"/>
        </w:rPr>
        <w:t>抓好区本级民生实事，云溪小学改扩建项目主体结构建设已完成，正在进行室内装修；新增安居园社区、金盆社区卫生服务站，云溪街道社区卫生服务中心医疗就诊通道建设进度达90%，预计8月底可投入使用；随岳高速云溪出口提质改造已完成初步设计和征拆任务，正在签订相关协议；农村客货邮服务中心主体工程完成60%，全区共设立33个村级站点，预计10月份试运营；建设农村道路“白改黑”5.7公里和农村公路安防工程27公里，国安桥预计8月底开工；建成1处日间照料中心，低保扩围7.2%；2个老旧小区改造已开工。扛牢粮食安全责任，基隆村、香铺村、陆逊社区高标准农田建设项目通过市级竣工验收，0.7万亩高标准农田建设项目（国债项目）开工建设。强化返贫监测，上半年我区纳入监测户126户353人，风险消除18户32人。加快实施双花水库除险加固、陆城垸排涝泵站改扩建工程建设，预计11月份可全面完工。落实全民参保计划，全区基本医保参保14.96万人，参保率98.44%。推进创业就业，上半年完成新增城镇就业3096人，新增农村劳动力转移就业617人。</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生态保护方面。</w:t>
      </w:r>
      <w:r>
        <w:rPr>
          <w:rFonts w:hint="eastAsia" w:ascii="仿宋_GB2312" w:hAnsi="Times New Roman" w:eastAsia="仿宋_GB2312" w:cs="Times New Roman"/>
          <w:color w:val="000000"/>
          <w:sz w:val="32"/>
          <w:szCs w:val="32"/>
        </w:rPr>
        <w:t>强化问题整改，上半年共收到中央环保督察交办信访件11件（含重点件1件），目前已办结9件、阶段性办结2件；收到省级环保督察交办问题线索17个，共涉及整改问题41个，目前已完成整改37个。截至6月，我区空气质量优良率89.1%，地表水考核断面总体水质达标率100%，长江陆城断面、城陵矶断面水质总体保持在二类标准。推深做实“林长制”，大力推进国土绿化，各级林长开展巡林1000余次，完成人工造林2000亩、低质低效林改造1000亩，清溪片区环境保护修复与绿色发展示范工程全面完成。倡导低碳出行，完成区政机关充电桩建设，五星停车场准备开工建设。</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b/>
          <w:color w:val="000000"/>
          <w:sz w:val="32"/>
          <w:szCs w:val="32"/>
        </w:rPr>
        <w:t>安全稳定方面。</w:t>
      </w:r>
      <w:r>
        <w:rPr>
          <w:rFonts w:hint="eastAsia" w:ascii="仿宋_GB2312" w:hAnsi="Times New Roman" w:eastAsia="仿宋_GB2312" w:cs="Times New Roman"/>
          <w:color w:val="000000"/>
          <w:sz w:val="32"/>
          <w:szCs w:val="32"/>
        </w:rPr>
        <w:t>持续开展安全生产专项整治三年行动，今年以来，区安委办结合国家、省、市、区安全生产督导检查交办各行业领域隐患问题240项，完成整改194项；扎实开展重大隐患动态清零、打通“生命通道”等专项行动，共排查重大隐患174项，整改完成170项；推动应急与园区监管力量同频共振，上半年召开安全研判会议6次，对62个议题进行了会商，协同开展重点县专项检查、重大危险源企业专项检查等专项行动6次，排查隐患1711项</w:t>
      </w:r>
      <w:r>
        <w:rPr>
          <w:rFonts w:hint="eastAsia" w:ascii="仿宋_GB2312" w:hAnsi="Times New Roman" w:eastAsia="仿宋_GB2312" w:cs="仿宋_GB2312"/>
          <w:snapToGrid w:val="0"/>
          <w:color w:val="000000"/>
          <w:kern w:val="0"/>
          <w:sz w:val="32"/>
          <w:szCs w:val="32"/>
        </w:rPr>
        <w:t>，整改完成1148项</w:t>
      </w:r>
      <w:r>
        <w:rPr>
          <w:rFonts w:hint="eastAsia" w:ascii="仿宋_GB2312" w:hAnsi="Times New Roman" w:eastAsia="仿宋_GB2312" w:cs="Times New Roman"/>
          <w:color w:val="000000"/>
          <w:sz w:val="32"/>
          <w:szCs w:val="32"/>
        </w:rPr>
        <w:t>。加快推进国家应急救援基地建设，现已完成初步选址工作，预计9月份挂网招投标。长岭消防站建设方案已通过区政府常务会议审议，拟将文桥汽车站改造成长岭消防站。区应急指挥调度平台建设完毕，协调区消防、湖南石化消防、蓝天等救援队伍，形成常态化联动机制，实现5分钟快速应急响应救援。</w:t>
      </w:r>
    </w:p>
    <w:p>
      <w:pPr>
        <w:spacing w:line="540" w:lineRule="exact"/>
        <w:ind w:firstLine="643" w:firstLineChars="200"/>
        <w:rPr>
          <w:rFonts w:hint="eastAsia"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（二）2024年省市重点民生实事进展情况</w:t>
      </w:r>
    </w:p>
    <w:p>
      <w:pPr>
        <w:spacing w:line="54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新增普惠性托位、提供案件法律援助、农村适龄及城镇低保适龄妇女“两癌”免费检查、新增惠民便企示范应用场景和高频特色服务事项、提高困难群体救助标准（6项指标）、普通国省道安全设施精细化提升、恢复和改善灌溉面积等12件省级重点民生实事，高标准农田建设、乡镇寄宿制学校建设及住院救助、门诊救助、再救助等3件市级重点民生实事已提前完成年度目标任务。家庭教育指导服务“向阳花”行动（3项指标）、提升基本养老服务水平（2项指标）、数字政务提升增效惠民工程（3项指标）、新生儿出生缺陷（耳聋基因）免费筛查、大力推进宜居宜业“和美乡村”建设（4项指标）等31件省市重点民生实事办理达到时序进度要求。</w:t>
      </w:r>
    </w:p>
    <w:p>
      <w:pPr>
        <w:spacing w:line="540" w:lineRule="exact"/>
        <w:ind w:firstLine="640" w:firstLineChars="200"/>
        <w:rPr>
          <w:rFonts w:hint="eastAsia" w:ascii="黑体" w:hAnsi="Times New Roman" w:eastAsia="黑体" w:cs="Times New Roman"/>
          <w:color w:val="000000"/>
          <w:sz w:val="32"/>
          <w:szCs w:val="32"/>
        </w:rPr>
      </w:pPr>
      <w:r>
        <w:rPr>
          <w:rFonts w:hint="eastAsia" w:ascii="黑体" w:hAnsi="Times New Roman" w:eastAsia="黑体" w:cs="Times New Roman"/>
          <w:color w:val="000000"/>
          <w:sz w:val="32"/>
          <w:szCs w:val="32"/>
        </w:rPr>
        <w:t>二、存在问题</w:t>
      </w:r>
    </w:p>
    <w:p>
      <w:pPr>
        <w:spacing w:line="540" w:lineRule="exact"/>
        <w:ind w:firstLine="643" w:firstLineChars="200"/>
        <w:rPr>
          <w:rFonts w:hint="eastAsia" w:ascii="仿宋_GB2312" w:hAnsi="Times New Roman" w:eastAsia="仿宋_GB2312" w:cs="Times New Roman"/>
          <w:color w:val="000000"/>
          <w:sz w:val="32"/>
          <w:szCs w:val="32"/>
          <w:lang w:eastAsia="en-US"/>
        </w:rPr>
      </w:pPr>
      <w:r>
        <w:rPr>
          <w:rFonts w:hint="eastAsia" w:ascii="楷体_GB2312" w:hAnsi="Times New Roman" w:eastAsia="楷体_GB2312" w:cs="Times New Roman"/>
          <w:b/>
          <w:color w:val="000000"/>
          <w:sz w:val="32"/>
          <w:szCs w:val="32"/>
        </w:rPr>
        <w:t>一是部分经济指标不容乐观。</w:t>
      </w:r>
      <w:r>
        <w:rPr>
          <w:rFonts w:hint="eastAsia" w:ascii="仿宋_GB2312" w:hAnsi="Times New Roman" w:eastAsia="仿宋_GB2312" w:cs="Times New Roman"/>
          <w:color w:val="000000"/>
          <w:sz w:val="32"/>
          <w:szCs w:val="32"/>
        </w:rPr>
        <w:t>上半年，受国际国内市场行情、国家统计督察等因素影响，我区经济运行趋缓，部分指标离年度目标相差较远，全市排名靠后。如：1-6月，地区生产总值增速低于全市平均1.5个百分点，排全市第11；规模工业增加值增幅低于全市平均1.1个百分点，排全市第9位；固定资产投资增幅低于全市平均4.6个百分点，排全市第9位。部分指标时间过半，任务完成进度却未达30%，如：“三资”改革方面，截至目前共计创收10355.595万元，占今年任务（3.5亿元）的29.59%。招商引资对接项目多，落地项目少，1-6月，全区新签约项目29个，总投资97.43亿元，距离年初500亿的招商目标还有较大差距。</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楷体_GB2312" w:hAnsi="Times New Roman" w:eastAsia="楷体_GB2312" w:cs="Times New Roman"/>
          <w:b/>
          <w:color w:val="000000"/>
          <w:sz w:val="32"/>
          <w:szCs w:val="32"/>
        </w:rPr>
        <w:t>二是部分实事办理进度滞后。</w:t>
      </w:r>
      <w:r>
        <w:rPr>
          <w:rFonts w:hint="eastAsia" w:ascii="仿宋_GB2312" w:hAnsi="Times New Roman" w:eastAsia="仿宋_GB2312" w:cs="Times New Roman"/>
          <w:color w:val="000000"/>
          <w:sz w:val="32"/>
          <w:szCs w:val="32"/>
        </w:rPr>
        <w:t>省市重点民生实事是省市政府对云溪区年度考核“一票否决”的指标之一，年内必须完成，但部分实事项目由于各种原因，仍处于前期准备阶段，项目推进缓慢。如：区应急局牵头的基层防灾减灾救灾能力提升两项工作[为区级和镇（街道）应急救援队伍配置易操作、易维护的救援装备]由于省厅仍在办理招标手续，预计11月份才能供货验收；区文旅广电局牵头的应急广播体系建设项目前期准备时间较长，7月底才开工建设。</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楷体_GB2312" w:hAnsi="Times New Roman" w:eastAsia="楷体_GB2312" w:cs="Times New Roman"/>
          <w:b/>
          <w:color w:val="000000"/>
          <w:sz w:val="32"/>
          <w:szCs w:val="32"/>
        </w:rPr>
        <w:t>三是部分工作推进力度不够。</w:t>
      </w:r>
      <w:r>
        <w:rPr>
          <w:rFonts w:hint="eastAsia" w:ascii="仿宋_GB2312" w:hAnsi="Times New Roman" w:eastAsia="仿宋_GB2312" w:cs="Times New Roman"/>
          <w:color w:val="000000"/>
          <w:sz w:val="32"/>
          <w:szCs w:val="32"/>
        </w:rPr>
        <w:t>部分项目受资金、土地、审批等要素制约，工作进度滞缓。如：区物流发展服务中心牵头的段家冲物流园建设项目，现已完成土地报批和土地出让前期工作，但由于市城运集团对项目的定位不明晰，暂时没有摘牌计划，建设进度较为滞后。区公路建养中心牵头的和平大道提质改造项目，原计划7月底完工，目前剩余500米道路改造尚未完成，需待乙烯土石方外运（体量约270万方）完成后启动建设；农</w:t>
      </w:r>
      <w:r>
        <w:rPr>
          <w:rFonts w:hint="eastAsia" w:ascii="仿宋_GB2312" w:hAnsi="Times New Roman" w:eastAsia="仿宋_GB2312" w:cs="Times New Roman"/>
          <w:color w:val="000000"/>
          <w:spacing w:val="-4"/>
          <w:sz w:val="32"/>
          <w:szCs w:val="32"/>
        </w:rPr>
        <w:t>村公路“白改黑”项目因资金缺口难以筹集，导致项目建设滞后。</w:t>
      </w:r>
      <w:r>
        <w:rPr>
          <w:rFonts w:hint="eastAsia" w:ascii="仿宋_GB2312" w:hAnsi="Times New Roman" w:eastAsia="仿宋_GB2312" w:cs="Times New Roman"/>
          <w:color w:val="000000"/>
          <w:sz w:val="32"/>
          <w:szCs w:val="32"/>
        </w:rPr>
        <w:t>争项争资进展不平衡，31个下达任务的单位中还有12家单位任务未过半。</w:t>
      </w:r>
    </w:p>
    <w:p>
      <w:pPr>
        <w:spacing w:line="540" w:lineRule="exact"/>
        <w:ind w:firstLine="643" w:firstLineChars="200"/>
        <w:rPr>
          <w:rFonts w:hint="eastAsia"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四是争创先进激励形势堪忧。</w:t>
      </w:r>
      <w:r>
        <w:rPr>
          <w:rFonts w:hint="eastAsia" w:ascii="仿宋_GB2312" w:hAnsi="Times New Roman" w:eastAsia="仿宋_GB2312" w:cs="仿宋_GB2312"/>
          <w:color w:val="000000"/>
          <w:sz w:val="32"/>
          <w:szCs w:val="32"/>
        </w:rPr>
        <w:t>省政府印发的《关于实施2024年大抓落实工作激励措施二十条的通知》中，共设置激励项目20个，相较去年减少了26项，而涉及县市区及园区相关的项目只有17项，加之相关对应的区直单位争创信心普遍不足，积极性不高，争创难度加大。</w:t>
      </w:r>
    </w:p>
    <w:p>
      <w:pPr>
        <w:spacing w:line="540" w:lineRule="exact"/>
        <w:ind w:firstLine="640" w:firstLineChars="200"/>
        <w:rPr>
          <w:rFonts w:hint="eastAsia" w:ascii="黑体" w:hAnsi="Times New Roman" w:eastAsia="黑体" w:cs="Times New Roman"/>
          <w:color w:val="000000"/>
          <w:sz w:val="32"/>
          <w:szCs w:val="32"/>
        </w:rPr>
      </w:pPr>
      <w:r>
        <w:rPr>
          <w:rFonts w:hint="eastAsia" w:ascii="黑体" w:hAnsi="Times New Roman" w:eastAsia="黑体" w:cs="Times New Roman"/>
          <w:color w:val="000000"/>
          <w:sz w:val="32"/>
          <w:szCs w:val="32"/>
        </w:rPr>
        <w:t>三、后段工作建议</w:t>
      </w:r>
    </w:p>
    <w:p>
      <w:pPr>
        <w:spacing w:line="540" w:lineRule="exact"/>
        <w:ind w:firstLine="643" w:firstLineChars="200"/>
        <w:rPr>
          <w:rFonts w:hint="eastAsia" w:ascii="仿宋_GB2312" w:hAnsi="Times New Roman" w:eastAsia="仿宋_GB2312" w:cs="仿宋_GB2312"/>
          <w:color w:val="000000"/>
          <w:sz w:val="32"/>
          <w:szCs w:val="32"/>
          <w:lang w:val="zh-CN"/>
        </w:rPr>
      </w:pPr>
      <w:r>
        <w:rPr>
          <w:rFonts w:hint="eastAsia" w:ascii="楷体_GB2312" w:hAnsi="Times New Roman" w:eastAsia="楷体_GB2312" w:cs="Times New Roman"/>
          <w:b/>
          <w:color w:val="000000"/>
          <w:sz w:val="32"/>
          <w:szCs w:val="32"/>
        </w:rPr>
        <w:t>一是全面压实责任。</w:t>
      </w:r>
      <w:r>
        <w:rPr>
          <w:rFonts w:hint="eastAsia" w:ascii="仿宋_GB2312" w:hAnsi="Times New Roman" w:eastAsia="仿宋_GB2312" w:cs="仿宋_GB2312"/>
          <w:color w:val="000000"/>
          <w:sz w:val="32"/>
          <w:szCs w:val="32"/>
          <w:lang w:val="zh-CN"/>
        </w:rPr>
        <w:t>各单位主要负责同志要主动承担领导责任，</w:t>
      </w:r>
      <w:r>
        <w:rPr>
          <w:rFonts w:hint="eastAsia" w:ascii="仿宋_GB2312" w:hAnsi="Times New Roman" w:eastAsia="仿宋_GB2312" w:cs="Times New Roman"/>
          <w:color w:val="000000"/>
          <w:sz w:val="32"/>
          <w:szCs w:val="32"/>
        </w:rPr>
        <w:t>严格对照岳云政办发〔2024〕2号文件明确的80项目标任务及岳云政办函〔2024〕5号文件确定的18项46件省市重点民生实事，</w:t>
      </w:r>
      <w:r>
        <w:rPr>
          <w:rFonts w:hint="eastAsia" w:ascii="仿宋_GB2312" w:hAnsi="Times New Roman" w:eastAsia="仿宋_GB2312" w:cs="仿宋_GB2312"/>
          <w:color w:val="000000"/>
          <w:sz w:val="32"/>
          <w:szCs w:val="32"/>
          <w:lang w:val="zh-CN"/>
        </w:rPr>
        <w:t>认真梳理，把目标细化为可实施的具体项目，把项目分解成可操作的工作清单，明确工作责任和时间进度，一项一项地推进，一件一件地落实。对较易完成的目标，要一鼓作气尽快完成，争取超额完成；对难度较大的指标，要协调各方力量，凝聚工作合力，一抓到底、抓出成效。</w:t>
      </w:r>
    </w:p>
    <w:p>
      <w:pPr>
        <w:spacing w:line="540" w:lineRule="exact"/>
        <w:ind w:firstLine="643" w:firstLineChars="200"/>
        <w:rPr>
          <w:rFonts w:hint="eastAsia" w:ascii="仿宋_GB2312" w:hAnsi="Times New Roman" w:eastAsia="仿宋_GB2312" w:cs="Times New Roman"/>
          <w:color w:val="000000"/>
          <w:sz w:val="32"/>
          <w:szCs w:val="32"/>
        </w:rPr>
      </w:pPr>
      <w:r>
        <w:rPr>
          <w:rFonts w:hint="eastAsia" w:ascii="楷体_GB2312" w:hAnsi="Times New Roman" w:eastAsia="楷体_GB2312" w:cs="Times New Roman"/>
          <w:b/>
          <w:color w:val="000000"/>
          <w:sz w:val="32"/>
          <w:szCs w:val="32"/>
        </w:rPr>
        <w:t>二是坚持务实作风。</w:t>
      </w:r>
      <w:r>
        <w:rPr>
          <w:rFonts w:hint="eastAsia" w:ascii="仿宋_GB2312" w:hAnsi="Times New Roman" w:eastAsia="仿宋_GB2312" w:cs="Times New Roman"/>
          <w:color w:val="000000"/>
          <w:sz w:val="32"/>
        </w:rPr>
        <w:t>要严格落实“13710”工作制度，</w:t>
      </w:r>
      <w:r>
        <w:rPr>
          <w:rFonts w:hint="eastAsia" w:ascii="仿宋_GB2312" w:hAnsi="Times New Roman" w:eastAsia="仿宋_GB2312" w:cs="Times New Roman"/>
          <w:color w:val="000000"/>
          <w:sz w:val="32"/>
          <w:szCs w:val="32"/>
        </w:rPr>
        <w:t>切实增强“等不起”的紧迫感、“慢不得”的危机感，</w:t>
      </w:r>
      <w:r>
        <w:rPr>
          <w:rFonts w:hint="eastAsia" w:ascii="仿宋_GB2312" w:hAnsi="Times New Roman" w:eastAsia="仿宋_GB2312" w:cs="Times New Roman"/>
          <w:color w:val="000000"/>
          <w:sz w:val="32"/>
        </w:rPr>
        <w:t>对定下来的事情、承担的任务，赶早不拖晚、赶前不拖后，将时间节点细化到每一天，争取项目快推进、工作快见效。要深入推进“一线工作法”，把办公室设在基层、设在工程和项目现场、设在需要解决困难和问题的地方，现场办公、现场解决问题。</w:t>
      </w:r>
      <w:r>
        <w:rPr>
          <w:rFonts w:hint="eastAsia" w:ascii="仿宋_GB2312" w:hAnsi="Times New Roman" w:eastAsia="仿宋_GB2312" w:cs="Times New Roman"/>
          <w:color w:val="000000"/>
          <w:sz w:val="32"/>
          <w:szCs w:val="32"/>
        </w:rPr>
        <w:t>各单位“一把手”要进一步强化担当精神和效率意识，对工作中遇到的困难和问题，要亲自挂帅、靠前指挥，不能推诿扯皮、敷衍了事，做到项目早竣工、群众早受益。</w:t>
      </w:r>
    </w:p>
    <w:p>
      <w:pPr>
        <w:spacing w:line="540" w:lineRule="exact"/>
        <w:ind w:firstLine="643" w:firstLineChars="200"/>
        <w:rPr>
          <w:rFonts w:hint="eastAsia" w:ascii="Times New Roman" w:hAnsi="Times New Roman" w:eastAsia="宋体" w:cs="Times New Roman"/>
          <w:color w:val="000000"/>
        </w:rPr>
      </w:pPr>
      <w:r>
        <w:rPr>
          <w:rFonts w:hint="eastAsia" w:ascii="楷体_GB2312" w:hAnsi="Times New Roman" w:eastAsia="楷体_GB2312" w:cs="Times New Roman"/>
          <w:b/>
          <w:color w:val="000000"/>
          <w:sz w:val="32"/>
          <w:szCs w:val="32"/>
        </w:rPr>
        <w:t>三是强化统筹协调。</w:t>
      </w:r>
      <w:r>
        <w:rPr>
          <w:rFonts w:hint="eastAsia" w:ascii="仿宋_GB2312" w:hAnsi="Times New Roman" w:eastAsia="仿宋_GB2312" w:cs="Times New Roman"/>
          <w:color w:val="000000"/>
          <w:sz w:val="32"/>
          <w:szCs w:val="32"/>
        </w:rPr>
        <w:t>发改、财政等项目和资金集中的部门，要增强工作的预见性和主动性，及时掌握国家、省、市的投资动态，敏锐反应、快速行动，不仅自身要多挖掘、包装项目，还要指导引领相关部门单位立即去跑、盯住去抢。各责任单位要牢牢抓住重点项目、重点工程用地、规划、审批、建设等各个环节，认真研读政策，加强向上对接，争取工作支持；要拓宽资金渠道，用好土地政策，主攻薄弱环节，确保各项工作落到实处、取得实效。</w:t>
      </w:r>
    </w:p>
    <w:p>
      <w:pPr>
        <w:spacing w:line="540" w:lineRule="exact"/>
        <w:ind w:firstLine="640" w:firstLineChars="200"/>
        <w:rPr>
          <w:rFonts w:hint="eastAsia" w:ascii="仿宋_GB2312" w:hAnsi="Times New Roman" w:eastAsia="仿宋_GB2312" w:cs="Times New Roman"/>
          <w:color w:val="000000"/>
          <w:sz w:val="32"/>
          <w:szCs w:val="32"/>
        </w:rPr>
      </w:pPr>
    </w:p>
    <w:p>
      <w:pPr>
        <w:spacing w:line="540" w:lineRule="exact"/>
        <w:ind w:left="1892" w:leftChars="304" w:hanging="1254" w:hangingChars="392"/>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附件：</w:t>
      </w:r>
      <w:r>
        <w:rPr>
          <w:rFonts w:hint="eastAsia" w:ascii="仿宋_GB2312" w:hAnsi="Times New Roman" w:eastAsia="仿宋_GB2312" w:cs="Times New Roman"/>
          <w:color w:val="000000"/>
          <w:spacing w:val="-10"/>
          <w:sz w:val="32"/>
          <w:szCs w:val="32"/>
        </w:rPr>
        <w:t>1</w:t>
      </w:r>
      <w:r>
        <w:rPr>
          <w:rFonts w:hint="eastAsia" w:ascii="仿宋_GB2312" w:hAnsi="Times New Roman" w:eastAsia="仿宋_GB2312" w:cs="Times New Roman"/>
          <w:color w:val="000000"/>
          <w:sz w:val="32"/>
          <w:szCs w:val="32"/>
        </w:rPr>
        <w:t>.《2024年&lt;政府工作报告&gt;目标任务分解》目标</w:t>
      </w:r>
    </w:p>
    <w:p>
      <w:pPr>
        <w:spacing w:line="540" w:lineRule="exact"/>
        <w:ind w:firstLine="1920" w:firstLineChars="6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任务进展情况</w:t>
      </w:r>
    </w:p>
    <w:p>
      <w:pPr>
        <w:spacing w:line="540" w:lineRule="exact"/>
        <w:ind w:left="1866" w:leftChars="740" w:hanging="312" w:hangingChars="100"/>
        <w:rPr>
          <w:rFonts w:hint="eastAsia" w:ascii="仿宋_GB2312" w:hAnsi="Times New Roman" w:eastAsia="仿宋_GB2312" w:cs="Times New Roman"/>
          <w:color w:val="000000"/>
          <w:spacing w:val="-4"/>
          <w:sz w:val="32"/>
          <w:szCs w:val="32"/>
        </w:rPr>
      </w:pPr>
      <w:r>
        <w:rPr>
          <w:rFonts w:hint="eastAsia" w:ascii="仿宋_GB2312" w:hAnsi="Times New Roman" w:eastAsia="仿宋_GB2312" w:cs="Times New Roman"/>
          <w:color w:val="000000"/>
          <w:spacing w:val="-4"/>
          <w:sz w:val="32"/>
          <w:szCs w:val="32"/>
        </w:rPr>
        <w:t>2.2024年省市重点民生实事项目任务分解进展情况</w:t>
      </w:r>
    </w:p>
    <w:p>
      <w:pPr>
        <w:spacing w:line="600" w:lineRule="exact"/>
        <w:ind w:firstLine="640" w:firstLineChars="200"/>
        <w:rPr>
          <w:rFonts w:hint="eastAsia" w:ascii="仿宋_GB2312" w:hAnsi="Times New Roman" w:eastAsia="仿宋_GB2312" w:cs="Times New Roman"/>
          <w:color w:val="000000"/>
          <w:sz w:val="32"/>
          <w:szCs w:val="32"/>
        </w:rPr>
      </w:pPr>
    </w:p>
    <w:p>
      <w:pPr>
        <w:widowControl w:val="0"/>
        <w:ind w:firstLine="420" w:firstLineChars="200"/>
        <w:jc w:val="both"/>
        <w:rPr>
          <w:rFonts w:hint="eastAsia" w:ascii="Times New Roman" w:hAnsi="Times New Roman" w:eastAsia="宋体" w:cs="Times New Roman"/>
          <w:color w:val="000000"/>
          <w:kern w:val="2"/>
          <w:sz w:val="21"/>
          <w:szCs w:val="20"/>
          <w:lang w:val="en-US" w:eastAsia="zh-CN" w:bidi="ar-SA"/>
        </w:rPr>
      </w:pPr>
    </w:p>
    <w:p>
      <w:pPr>
        <w:widowControl w:val="0"/>
        <w:ind w:firstLine="420" w:firstLineChars="200"/>
        <w:jc w:val="both"/>
        <w:rPr>
          <w:rFonts w:hint="eastAsia" w:ascii="Times New Roman" w:hAnsi="Times New Roman" w:eastAsia="宋体" w:cs="Times New Roman"/>
          <w:color w:val="000000"/>
          <w:kern w:val="2"/>
          <w:sz w:val="21"/>
          <w:szCs w:val="20"/>
          <w:lang w:val="en-US" w:eastAsia="zh-CN" w:bidi="ar-SA"/>
        </w:rPr>
      </w:pPr>
    </w:p>
    <w:p>
      <w:pPr>
        <w:widowControl w:val="0"/>
        <w:ind w:firstLine="420" w:firstLineChars="200"/>
        <w:jc w:val="both"/>
        <w:rPr>
          <w:rFonts w:hint="eastAsia" w:ascii="Times New Roman" w:hAnsi="Times New Roman" w:eastAsia="宋体" w:cs="Times New Roman"/>
          <w:color w:val="000000"/>
          <w:kern w:val="2"/>
          <w:sz w:val="21"/>
          <w:szCs w:val="20"/>
          <w:lang w:val="en-US" w:eastAsia="zh-CN" w:bidi="ar-SA"/>
        </w:rPr>
      </w:pPr>
    </w:p>
    <w:p>
      <w:pPr>
        <w:widowControl w:val="0"/>
        <w:ind w:firstLine="420" w:firstLineChars="200"/>
        <w:jc w:val="both"/>
        <w:rPr>
          <w:rFonts w:hint="eastAsia" w:ascii="Times New Roman" w:hAnsi="Times New Roman" w:eastAsia="宋体" w:cs="Times New Roman"/>
          <w:color w:val="000000"/>
          <w:kern w:val="2"/>
          <w:sz w:val="21"/>
          <w:szCs w:val="20"/>
          <w:lang w:val="en-US" w:eastAsia="zh-CN" w:bidi="ar-SA"/>
        </w:rPr>
      </w:pPr>
    </w:p>
    <w:p>
      <w:pPr>
        <w:widowControl w:val="0"/>
        <w:ind w:firstLine="4160" w:firstLineChars="1300"/>
        <w:jc w:val="both"/>
        <w:rPr>
          <w:rFonts w:ascii="仿宋_GB2312" w:hAnsi="Times New Roman" w:eastAsia="仿宋_GB2312" w:cs="Times New Roman"/>
          <w:color w:val="000000"/>
          <w:kern w:val="2"/>
          <w:sz w:val="32"/>
          <w:szCs w:val="32"/>
          <w:lang w:val="en-US" w:eastAsia="zh-CN" w:bidi="ar-SA"/>
        </w:rPr>
      </w:pPr>
      <w:r>
        <w:rPr>
          <w:rFonts w:hint="eastAsia" w:ascii="仿宋_GB2312" w:hAnsi="Times New Roman" w:eastAsia="仿宋_GB2312" w:cs="Times New Roman"/>
          <w:color w:val="000000"/>
          <w:kern w:val="2"/>
          <w:sz w:val="32"/>
          <w:szCs w:val="32"/>
          <w:lang w:val="zh-CN" w:eastAsia="zh-CN" w:bidi="ar-SA"/>
        </w:rPr>
        <w:t>岳阳市云溪区人民政府办公室</w:t>
      </w:r>
    </w:p>
    <w:p>
      <w:pPr>
        <w:widowControl w:val="0"/>
        <w:ind w:right="1260" w:rightChars="600" w:firstLine="4160" w:firstLineChars="1300"/>
        <w:jc w:val="right"/>
        <w:rPr>
          <w:rFonts w:hint="eastAsia" w:ascii="仿宋_GB2312" w:hAnsi="Times New Roman" w:eastAsia="仿宋_GB2312" w:cs="Times New Roman"/>
          <w:color w:val="000000"/>
          <w:kern w:val="2"/>
          <w:sz w:val="32"/>
          <w:szCs w:val="32"/>
          <w:lang w:val="en-US" w:eastAsia="zh-CN" w:bidi="ar-SA"/>
        </w:rPr>
        <w:sectPr>
          <w:footerReference r:id="rId8" w:type="default"/>
          <w:footerReference r:id="rId9" w:type="even"/>
          <w:pgSz w:w="11906" w:h="16838"/>
          <w:pgMar w:top="1814" w:right="1588" w:bottom="1701" w:left="1588" w:header="851" w:footer="1247" w:gutter="0"/>
          <w:cols w:space="720" w:num="1"/>
          <w:titlePg/>
          <w:docGrid w:type="lines" w:linePitch="312" w:charSpace="0"/>
        </w:sectPr>
      </w:pPr>
      <w:r>
        <w:rPr>
          <w:rFonts w:hint="eastAsia" w:ascii="仿宋_GB2312" w:hAnsi="Times New Roman" w:eastAsia="仿宋_GB2312" w:cs="Times New Roman"/>
          <w:color w:val="000000"/>
          <w:kern w:val="2"/>
          <w:sz w:val="32"/>
          <w:szCs w:val="32"/>
          <w:lang w:val="en-US" w:eastAsia="zh-CN" w:bidi="ar-SA"/>
        </w:rPr>
        <w:t>2024年8月16日</w:t>
      </w:r>
    </w:p>
    <w:p>
      <w:pPr>
        <w:spacing w:line="480" w:lineRule="exact"/>
        <w:rPr>
          <w:rFonts w:hint="eastAsia" w:ascii="黑体" w:hAnsi="Times New Roman" w:eastAsia="黑体" w:cs="Times New Roman"/>
          <w:color w:val="000000"/>
          <w:sz w:val="32"/>
          <w:szCs w:val="32"/>
        </w:rPr>
      </w:pPr>
      <w:r>
        <w:rPr>
          <w:rFonts w:hint="eastAsia" w:ascii="黑体" w:hAnsi="Times New Roman" w:eastAsia="黑体" w:cs="Times New Roman"/>
          <w:color w:val="000000"/>
          <w:sz w:val="32"/>
          <w:szCs w:val="32"/>
        </w:rPr>
        <w:t>附件1</w:t>
      </w:r>
    </w:p>
    <w:p>
      <w:pPr>
        <w:spacing w:before="312" w:beforeLines="100"/>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《2024年&lt;政府工作报告&gt;目标任务分解》目标任务进展情况</w:t>
      </w:r>
    </w:p>
    <w:tbl>
      <w:tblPr>
        <w:tblStyle w:val="12"/>
        <w:tblW w:w="14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8"/>
        <w:gridCol w:w="4189"/>
        <w:gridCol w:w="1630"/>
        <w:gridCol w:w="6471"/>
        <w:gridCol w:w="541"/>
        <w:gridCol w:w="720"/>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 w:hRule="atLeast"/>
          <w:tblHeader/>
          <w:jc w:val="center"/>
        </w:trPr>
        <w:tc>
          <w:tcPr>
            <w:tcW w:w="488" w:type="dxa"/>
            <w:vMerge w:val="restart"/>
            <w:noWrap w:val="0"/>
            <w:vAlign w:val="center"/>
          </w:tcPr>
          <w:p>
            <w:pPr>
              <w:spacing w:line="260" w:lineRule="exact"/>
              <w:jc w:val="center"/>
              <w:rPr>
                <w:rFonts w:hint="eastAsia" w:ascii="黑体" w:hAnsi="Times New Roman" w:eastAsia="黑体" w:cs="Times New Roman"/>
                <w:color w:val="000000"/>
                <w:sz w:val="22"/>
                <w:szCs w:val="22"/>
              </w:rPr>
            </w:pPr>
            <w:r>
              <w:rPr>
                <w:rFonts w:hint="eastAsia" w:ascii="黑体" w:hAnsi="Times New Roman" w:eastAsia="黑体" w:cs="宋体"/>
                <w:bCs/>
                <w:color w:val="000000"/>
                <w:sz w:val="22"/>
                <w:szCs w:val="22"/>
              </w:rPr>
              <w:t>序号</w:t>
            </w:r>
          </w:p>
        </w:tc>
        <w:tc>
          <w:tcPr>
            <w:tcW w:w="4189" w:type="dxa"/>
            <w:vMerge w:val="restart"/>
            <w:noWrap w:val="0"/>
            <w:vAlign w:val="center"/>
          </w:tcPr>
          <w:p>
            <w:pPr>
              <w:spacing w:line="260" w:lineRule="exact"/>
              <w:jc w:val="center"/>
              <w:rPr>
                <w:rFonts w:hint="eastAsia" w:ascii="黑体" w:hAnsi="Times New Roman" w:eastAsia="黑体" w:cs="Times New Roman"/>
                <w:color w:val="000000"/>
                <w:sz w:val="22"/>
                <w:szCs w:val="22"/>
              </w:rPr>
            </w:pPr>
            <w:r>
              <w:rPr>
                <w:rFonts w:hint="eastAsia" w:ascii="黑体" w:hAnsi="Times New Roman" w:eastAsia="黑体" w:cs="宋体"/>
                <w:bCs/>
                <w:color w:val="000000"/>
                <w:sz w:val="22"/>
                <w:szCs w:val="22"/>
              </w:rPr>
              <w:t>目标任务</w:t>
            </w:r>
          </w:p>
        </w:tc>
        <w:tc>
          <w:tcPr>
            <w:tcW w:w="1630" w:type="dxa"/>
            <w:vMerge w:val="restart"/>
            <w:noWrap w:val="0"/>
            <w:vAlign w:val="center"/>
          </w:tcPr>
          <w:p>
            <w:pPr>
              <w:spacing w:line="260" w:lineRule="exact"/>
              <w:jc w:val="center"/>
              <w:rPr>
                <w:rFonts w:hint="eastAsia" w:ascii="黑体" w:hAnsi="Times New Roman" w:eastAsia="黑体" w:cs="Times New Roman"/>
                <w:color w:val="000000"/>
                <w:sz w:val="22"/>
                <w:szCs w:val="22"/>
              </w:rPr>
            </w:pPr>
            <w:r>
              <w:rPr>
                <w:rFonts w:hint="eastAsia" w:ascii="黑体" w:hAnsi="Times New Roman" w:eastAsia="黑体" w:cs="Times New Roman"/>
                <w:color w:val="000000"/>
                <w:sz w:val="22"/>
                <w:szCs w:val="22"/>
              </w:rPr>
              <w:t>牵头单位</w:t>
            </w:r>
          </w:p>
        </w:tc>
        <w:tc>
          <w:tcPr>
            <w:tcW w:w="6471" w:type="dxa"/>
            <w:vMerge w:val="restart"/>
            <w:noWrap w:val="0"/>
            <w:vAlign w:val="center"/>
          </w:tcPr>
          <w:p>
            <w:pPr>
              <w:spacing w:line="260" w:lineRule="exact"/>
              <w:jc w:val="center"/>
              <w:rPr>
                <w:rFonts w:hint="eastAsia" w:ascii="黑体" w:hAnsi="Times New Roman" w:eastAsia="黑体" w:cs="Times New Roman"/>
                <w:color w:val="000000"/>
                <w:sz w:val="22"/>
                <w:szCs w:val="22"/>
              </w:rPr>
            </w:pPr>
            <w:r>
              <w:rPr>
                <w:rFonts w:hint="eastAsia" w:ascii="黑体" w:hAnsi="Times New Roman" w:eastAsia="黑体" w:cs="Times New Roman"/>
                <w:color w:val="000000"/>
                <w:sz w:val="22"/>
                <w:szCs w:val="22"/>
              </w:rPr>
              <w:t>进展情况</w:t>
            </w:r>
          </w:p>
        </w:tc>
        <w:tc>
          <w:tcPr>
            <w:tcW w:w="1794" w:type="dxa"/>
            <w:gridSpan w:val="3"/>
            <w:noWrap w:val="0"/>
            <w:vAlign w:val="center"/>
          </w:tcPr>
          <w:p>
            <w:pPr>
              <w:spacing w:line="260" w:lineRule="exact"/>
              <w:jc w:val="center"/>
              <w:rPr>
                <w:rFonts w:hint="eastAsia" w:ascii="黑体" w:hAnsi="Times New Roman" w:eastAsia="黑体" w:cs="Times New Roman"/>
                <w:color w:val="000000"/>
                <w:sz w:val="22"/>
                <w:szCs w:val="22"/>
              </w:rPr>
            </w:pPr>
            <w:r>
              <w:rPr>
                <w:rFonts w:hint="eastAsia" w:ascii="黑体" w:hAnsi="Times New Roman" w:eastAsia="黑体" w:cs="宋体"/>
                <w:bCs/>
                <w:color w:val="000000"/>
              </w:rPr>
              <w:t>工作进度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3" w:hRule="atLeast"/>
          <w:tblHeader/>
          <w:jc w:val="center"/>
        </w:trPr>
        <w:tc>
          <w:tcPr>
            <w:tcW w:w="488" w:type="dxa"/>
            <w:vMerge w:val="continue"/>
            <w:noWrap w:val="0"/>
            <w:vAlign w:val="center"/>
          </w:tcPr>
          <w:p>
            <w:pPr>
              <w:rPr>
                <w:rFonts w:ascii="Times New Roman" w:hAnsi="Times New Roman" w:eastAsia="宋体" w:cs="Times New Roman"/>
                <w:color w:val="000000"/>
              </w:rPr>
            </w:pPr>
          </w:p>
        </w:tc>
        <w:tc>
          <w:tcPr>
            <w:tcW w:w="4189" w:type="dxa"/>
            <w:vMerge w:val="continue"/>
            <w:noWrap w:val="0"/>
            <w:vAlign w:val="center"/>
          </w:tcPr>
          <w:p>
            <w:pPr>
              <w:rPr>
                <w:rFonts w:ascii="Times New Roman" w:hAnsi="Times New Roman" w:eastAsia="宋体" w:cs="Times New Roman"/>
                <w:color w:val="000000"/>
              </w:rPr>
            </w:pPr>
          </w:p>
        </w:tc>
        <w:tc>
          <w:tcPr>
            <w:tcW w:w="1630" w:type="dxa"/>
            <w:vMerge w:val="continue"/>
            <w:noWrap w:val="0"/>
            <w:vAlign w:val="center"/>
          </w:tcPr>
          <w:p>
            <w:pPr>
              <w:rPr>
                <w:rFonts w:ascii="Times New Roman" w:hAnsi="Times New Roman" w:eastAsia="宋体" w:cs="Times New Roman"/>
                <w:color w:val="000000"/>
              </w:rPr>
            </w:pPr>
          </w:p>
        </w:tc>
        <w:tc>
          <w:tcPr>
            <w:tcW w:w="6471" w:type="dxa"/>
            <w:vMerge w:val="continue"/>
            <w:noWrap w:val="0"/>
            <w:vAlign w:val="center"/>
          </w:tcPr>
          <w:p>
            <w:pPr>
              <w:rPr>
                <w:rFonts w:ascii="Times New Roman" w:hAnsi="Times New Roman" w:eastAsia="宋体" w:cs="Times New Roman"/>
                <w:color w:val="000000"/>
              </w:rPr>
            </w:pPr>
          </w:p>
        </w:tc>
        <w:tc>
          <w:tcPr>
            <w:tcW w:w="541" w:type="dxa"/>
            <w:noWrap w:val="0"/>
            <w:vAlign w:val="center"/>
          </w:tcPr>
          <w:p>
            <w:pPr>
              <w:spacing w:line="260" w:lineRule="exact"/>
              <w:jc w:val="center"/>
              <w:rPr>
                <w:rFonts w:hint="eastAsia" w:ascii="黑体" w:hAnsi="Times New Roman" w:eastAsia="黑体" w:cs="宋体"/>
                <w:bCs/>
                <w:color w:val="000000"/>
              </w:rPr>
            </w:pPr>
            <w:r>
              <w:rPr>
                <w:rFonts w:hint="eastAsia" w:ascii="黑体" w:hAnsi="Times New Roman" w:eastAsia="黑体" w:cs="宋体"/>
                <w:bCs/>
                <w:color w:val="000000"/>
              </w:rPr>
              <w:t>基本</w:t>
            </w:r>
          </w:p>
          <w:p>
            <w:pPr>
              <w:spacing w:line="260" w:lineRule="exact"/>
              <w:jc w:val="center"/>
              <w:rPr>
                <w:rFonts w:hint="eastAsia" w:ascii="黑体" w:hAnsi="Times New Roman" w:eastAsia="黑体" w:cs="宋体"/>
                <w:bCs/>
                <w:color w:val="000000"/>
              </w:rPr>
            </w:pPr>
            <w:r>
              <w:rPr>
                <w:rFonts w:hint="eastAsia" w:ascii="黑体" w:hAnsi="Times New Roman" w:eastAsia="黑体" w:cs="宋体"/>
                <w:bCs/>
                <w:color w:val="000000"/>
              </w:rPr>
              <w:t>完成</w:t>
            </w:r>
          </w:p>
        </w:tc>
        <w:tc>
          <w:tcPr>
            <w:tcW w:w="720" w:type="dxa"/>
            <w:noWrap w:val="0"/>
            <w:vAlign w:val="center"/>
          </w:tcPr>
          <w:p>
            <w:pPr>
              <w:spacing w:line="260" w:lineRule="exact"/>
              <w:jc w:val="center"/>
              <w:rPr>
                <w:rFonts w:hint="eastAsia" w:ascii="黑体" w:hAnsi="Times New Roman" w:eastAsia="黑体" w:cs="宋体"/>
                <w:bCs/>
                <w:color w:val="000000"/>
              </w:rPr>
            </w:pPr>
            <w:r>
              <w:rPr>
                <w:rFonts w:hint="eastAsia" w:ascii="黑体" w:hAnsi="Times New Roman" w:eastAsia="黑体" w:cs="宋体"/>
                <w:bCs/>
                <w:color w:val="000000"/>
              </w:rPr>
              <w:t>常态化</w:t>
            </w:r>
          </w:p>
          <w:p>
            <w:pPr>
              <w:spacing w:line="260" w:lineRule="exact"/>
              <w:jc w:val="center"/>
              <w:rPr>
                <w:rFonts w:hint="eastAsia" w:ascii="黑体" w:hAnsi="Times New Roman" w:eastAsia="黑体" w:cs="宋体"/>
                <w:bCs/>
                <w:color w:val="000000"/>
              </w:rPr>
            </w:pPr>
            <w:r>
              <w:rPr>
                <w:rFonts w:hint="eastAsia" w:ascii="黑体" w:hAnsi="Times New Roman" w:eastAsia="黑体" w:cs="宋体"/>
                <w:bCs/>
                <w:color w:val="000000"/>
              </w:rPr>
              <w:t>或按时序推进</w:t>
            </w:r>
          </w:p>
        </w:tc>
        <w:tc>
          <w:tcPr>
            <w:tcW w:w="533" w:type="dxa"/>
            <w:noWrap w:val="0"/>
            <w:vAlign w:val="center"/>
          </w:tcPr>
          <w:p>
            <w:pPr>
              <w:spacing w:line="260" w:lineRule="exact"/>
              <w:jc w:val="center"/>
              <w:rPr>
                <w:rFonts w:hint="eastAsia" w:ascii="黑体" w:hAnsi="Times New Roman" w:eastAsia="黑体" w:cs="宋体"/>
                <w:bCs/>
                <w:color w:val="000000"/>
              </w:rPr>
            </w:pPr>
            <w:r>
              <w:rPr>
                <w:rFonts w:hint="eastAsia" w:ascii="黑体" w:hAnsi="Times New Roman" w:eastAsia="黑体" w:cs="宋体"/>
                <w:bCs/>
                <w:color w:val="000000"/>
              </w:rPr>
              <w:t>相对滞后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地区生产总值增长7.5%以上，规模工业增加值增长8%以上，固定资产投资增长8%以上，社会消费品零售总额增长8%以上，一般公共预算地方收入增长8%以上，城镇居民人均可支配收入增长6%以上。</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区发改局</w:t>
            </w:r>
          </w:p>
        </w:tc>
        <w:tc>
          <w:tcPr>
            <w:tcW w:w="6471" w:type="dxa"/>
            <w:noWrap w:val="0"/>
            <w:vAlign w:val="center"/>
          </w:tcPr>
          <w:p>
            <w:pPr>
              <w:spacing w:line="360" w:lineRule="exact"/>
              <w:rPr>
                <w:rFonts w:hint="eastAsia" w:ascii="Times New Roman" w:hAnsi="Times New Roman" w:eastAsia="仿宋_GB2312" w:cs="Times New Roman"/>
                <w:color w:val="000000"/>
              </w:rPr>
            </w:pPr>
            <w:r>
              <w:rPr>
                <w:rFonts w:hint="eastAsia" w:ascii="仿宋_GB2312" w:hAnsi="Times New Roman" w:eastAsia="仿宋_GB2312" w:cs="Times New Roman"/>
                <w:color w:val="000000"/>
                <w:sz w:val="22"/>
                <w:szCs w:val="22"/>
              </w:rPr>
              <w:t>1-6月，完成地区生产总值136.97亿元，增长2.5%</w:t>
            </w:r>
            <w:r>
              <w:rPr>
                <w:rFonts w:ascii="仿宋_GB2312" w:hAnsi="Times New Roman" w:eastAsia="仿宋_GB2312" w:cs="Times New Roman"/>
                <w:color w:val="000000"/>
                <w:sz w:val="22"/>
                <w:szCs w:val="22"/>
              </w:rPr>
              <w:t>;</w:t>
            </w:r>
            <w:r>
              <w:rPr>
                <w:rFonts w:hint="eastAsia" w:ascii="仿宋_GB2312" w:hAnsi="Times New Roman" w:eastAsia="仿宋_GB2312" w:cs="Times New Roman"/>
                <w:color w:val="000000"/>
                <w:sz w:val="22"/>
                <w:szCs w:val="22"/>
              </w:rPr>
              <w:t>城乡居民人均可支配收入实现收入27081元，增长4.0%</w:t>
            </w:r>
            <w:r>
              <w:rPr>
                <w:rFonts w:ascii="仿宋_GB2312" w:hAnsi="Times New Roman" w:eastAsia="仿宋_GB2312" w:cs="Times New Roman"/>
                <w:color w:val="000000"/>
                <w:sz w:val="22"/>
                <w:szCs w:val="22"/>
              </w:rPr>
              <w:t>;</w:t>
            </w:r>
            <w:r>
              <w:rPr>
                <w:rFonts w:hint="eastAsia" w:ascii="仿宋_GB2312" w:hAnsi="Times New Roman" w:eastAsia="仿宋_GB2312" w:cs="Times New Roman"/>
                <w:color w:val="000000"/>
                <w:sz w:val="22"/>
                <w:szCs w:val="22"/>
              </w:rPr>
              <w:t>规模工业增加值增长4.3%；固定资产投资增长-19.6%；社会消费品零售总额完成24.78亿元，增长3.2%。1-7月，全区完成一般公共预算地方收入3.26亿元，与去年同期基本持平；其中，税收收入2.49亿，税收收入占一般公共预算地方收入的比重为76.4%。</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深入推进“三资”运作改革，念好“用售租融”四字诀，确保实现收益3.5亿元以上。</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区财政局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完成9处资产处置，共计创收10355.595万元，占今年任务（3.5亿元）的29.59%。</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1"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加快推进城发集团、绿建投公司转型发展、控本增效，增强平台公司“造血”能力。</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区财政局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城发集团：</w:t>
            </w:r>
            <w:r>
              <w:rPr>
                <w:rFonts w:hint="eastAsia" w:ascii="仿宋_GB2312" w:hAnsi="Times New Roman" w:eastAsia="仿宋_GB2312" w:cs="Times New Roman"/>
                <w:color w:val="000000"/>
                <w:sz w:val="22"/>
                <w:szCs w:val="22"/>
              </w:rPr>
              <w:t>已完成转型。</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绿建投：</w:t>
            </w:r>
            <w:r>
              <w:rPr>
                <w:rFonts w:hint="eastAsia" w:ascii="仿宋_GB2312" w:hAnsi="Times New Roman" w:eastAsia="仿宋_GB2312" w:cs="Times New Roman"/>
                <w:color w:val="000000"/>
                <w:sz w:val="22"/>
                <w:szCs w:val="22"/>
              </w:rPr>
              <w:t>完成2020年第三批次建设用地中道路及绿化用地约66亩确权登记、完成公司第二批人员聘用、组建方案报批、公司管理制度修订、子公司年度经营计划拟定，危货停车场公司已成立。</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加大政策研究和向上对接力度，积极争取一批国、省改革试点落户云溪。</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区发改局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配合区物流中心创建现代服务业物流创新发展区，目前已向市发改委递交请示。</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邀请中石化高层次科技人才到园区开展“青蓝行动”，最大限度盘活区内产业人才资源，推动创新链、产业链、人才链有效融合。</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配合区委组织部、区科协收集湖南石化高层次人才情况，区委组织部近期将开展专项调度会推进“青蓝行动”落实。</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6"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新增上市企业1家，上市后备资源库企业4家。</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区金融事务中心</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中创化工IPO上市正在审核中；振兴中顺因上市政策调整，公司财务指标不达标，目前已申请撤回材料；聚仁化工已申报新三板挂牌，北交所于6月19日受理，目前正在反馈回复。组织区内3家企业申报上市后备资源库，待省金融委审核通过。</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做好云溪街道清溪片区文旅开发，打造清溪双花休闲文旅观光带，完成清溪片区环境保护修复与绿色发展示范工程。</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区城发集团</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清溪片区环境保护修复与绿色发展示范工程已完成。</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8</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统筹做好外来务工人员服务管理和生活保障，以及</w:t>
            </w:r>
            <w:r>
              <w:rPr>
                <w:rFonts w:hint="eastAsia" w:ascii="仿宋_GB2312" w:hAnsi="Times New Roman" w:eastAsia="仿宋_GB2312" w:cs="Times New Roman"/>
                <w:color w:val="000000"/>
                <w:spacing w:val="-6"/>
                <w:sz w:val="22"/>
                <w:szCs w:val="22"/>
              </w:rPr>
              <w:t>征拆群众、失地农民社会保障和就业等工作。</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区人社局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开展“云溪区失地农民专场招聘会”“春风行动”“春风行动丁山村专场招聘会”；开展创业培训2期，培训58人；为523名被征地农民发放被征地农民社保补贴9970883.5元。</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2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9</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落实就业优先政策，全力保障高校毕业生、失地少地农民等重点群体就业，新增城镇就业5600人以上，新增农村劳动力转移就业1100人以上。</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区人社局</w:t>
            </w:r>
          </w:p>
        </w:tc>
        <w:tc>
          <w:tcPr>
            <w:tcW w:w="6471" w:type="dxa"/>
            <w:noWrap w:val="0"/>
            <w:vAlign w:val="center"/>
          </w:tcPr>
          <w:p>
            <w:pPr>
              <w:spacing w:line="360" w:lineRule="exact"/>
              <w:rPr>
                <w:rFonts w:hint="eastAsia" w:ascii="仿宋_GB2312" w:hAnsi="Times New Roman" w:eastAsia="仿宋_GB2312" w:cs="仿宋_GB2312"/>
                <w:color w:val="000000"/>
                <w:sz w:val="24"/>
              </w:rPr>
            </w:pPr>
            <w:r>
              <w:rPr>
                <w:rFonts w:hint="eastAsia" w:ascii="仿宋_GB2312" w:hAnsi="Times New Roman" w:eastAsia="仿宋_GB2312" w:cs="Times New Roman"/>
                <w:color w:val="000000"/>
                <w:sz w:val="22"/>
                <w:szCs w:val="22"/>
              </w:rPr>
              <w:t>截至6月底，新增城镇就业3096人，新增农村劳动力转移就业617人。</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10</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完成区政机关、五星停车场等片区充电桩建设。</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区城发集团</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区政府机关充电桩建成并投入使用。五星停车场充电桩建设完成实地踏勘，准备开工建设。</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11</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扎实开展安全生产专项整治三年行动，统筹抓好危险化学品、城镇燃气、建筑施工、危货运输等专项治理，精准消除居民自建房、人口密集场所等重点领域安全隐患，坚决守牢不发生较大及以上安全生产事故底线。</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区应急局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上半年，共发出隐患整改交办函29份，交办各行业领域隐患问题240项，整改完成194项，发出工作提示函3份，督办函5份；开展安全专项督导检查3次，累计发出隐患整改交办函4份，</w:t>
            </w:r>
            <w:r>
              <w:rPr>
                <w:rFonts w:hint="eastAsia" w:ascii="仿宋_GB2312" w:hAnsi="Times New Roman" w:eastAsia="仿宋_GB2312" w:cs="Times New Roman"/>
                <w:color w:val="000000"/>
                <w:spacing w:val="-4"/>
                <w:sz w:val="22"/>
                <w:szCs w:val="22"/>
              </w:rPr>
              <w:t>交办隐患问题56项，已整改问题15项，正在整改41项。</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12</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积极筹建国家级应急救援基地，启动长岭消防救援站建设，升级改造应急指挥调度平台，打造全区“5分钟快速应急响应救援圈”。</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区应急局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国家应急救援基地已完成初步选址，财政部和应急部已下拨6830万元装备采购资金，湖南石化正在编制采购目录，上报中石化后拟在9月份挂网招投标。拟将原文桥汽车站改造成长岭消防站，区政府投资200万元，不足部分由区消防救援大队自筹解决。建成区应急指挥调度平台，园区智慧二期建设完成后直接接入区平台，同时区应急局协调区消防、湖南石化消防、蓝天等救援队伍，建立常态化联动机制，实现了5分钟快速应急响应救援。</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0" w:hRule="atLeast"/>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13</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严格落实一揽子化债方案，严控政府投资项目，确保隐性债务不新增、“三保”资金不断链、风险事件不发生。</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区财政局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今年化债任务的23.46%。对全区41个政府性投资项目进行资金来源审核，严控债务增量。加强与金融机构对接，区城发集团与长沙银行签订1.25亿元借新还旧合同，平滑债务风险；区开发公司与农发行期限15年的6个亿存量贷款，利率从4.5%降至3.95%，减少债务成本，降低债务风险。</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14</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全力争取中央和省预算内投资、政策性开发性金融工具、专项债券资金，确保全年向上争资总额增长10%以上。</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区发改局</w:t>
            </w:r>
          </w:p>
        </w:tc>
        <w:tc>
          <w:tcPr>
            <w:tcW w:w="6471" w:type="dxa"/>
            <w:noWrap w:val="0"/>
            <w:vAlign w:val="center"/>
          </w:tcPr>
          <w:p>
            <w:pPr>
              <w:spacing w:line="316"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截止7月底，全区争项争资完成任务14.23亿元，累计到位全口径资金10.89亿元，完成区定任务92.1%，完成市定任务81.91%。</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3" w:hRule="atLeast"/>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15</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升级打造陆城湖鲜特色小镇。</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与岳农集团签约共建陆城镇湖鲜特色小镇及文旅古镇乡村旅游综合体项目；依托岳农集团“垄上岳阳”消费帮扶品牌，将特色湖鲜产品展出展销，实现四季生产不断档、产业供应不断链；改造及修缮6栋非挂牌历史建筑。</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1" w:hRule="atLeast"/>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16</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统筹抓好油茶、艾叶、富硒螃蟹等农产品品牌建设，提升特色农产品知名度和影响力。</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加强生产基地日常监管，提高特色农产品质量，推进绿色认证的油茶企业获取加工资质的进程。组织生产加工企业参加中部农业博览会等各级博览会，提升品牌知名度和影响力。</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17</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强化返贫监测，严格落实“四个不摘”要求，确保不发生规模性返贫和新的致贫。</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落实防止返贫监测常态化排查机制，上半年纳入3户11人，消除2户4人。截至目前，我区共纳入监测户126户353人，风险消除18户32人。投入36.18万元为农村人口购买“防贫责任保险”。</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18</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盘活农村闲置资产资源，规范村级财务管理，发展壮大新型村级集体经济。</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举办2次全区村集体“三资”管理培训；村级集体资源资产台账已登记完成；村集体不合格经济合同正在整治中；2023年农村集体“三资”的问题清单正在督查整改中。</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19</w:t>
            </w:r>
          </w:p>
        </w:tc>
        <w:tc>
          <w:tcPr>
            <w:tcW w:w="4189" w:type="dxa"/>
            <w:noWrap w:val="0"/>
            <w:vAlign w:val="center"/>
          </w:tcPr>
          <w:p>
            <w:pPr>
              <w:widowControl w:val="0"/>
              <w:spacing w:line="320" w:lineRule="exact"/>
              <w:ind w:firstLine="0" w:firstLineChars="0"/>
              <w:jc w:val="both"/>
              <w:rPr>
                <w:rFonts w:hint="eastAsia" w:ascii="仿宋_GB2312" w:hAnsi="Calibri" w:eastAsia="仿宋_GB2312" w:cs="Times New Roman"/>
                <w:color w:val="000000"/>
                <w:kern w:val="2"/>
                <w:sz w:val="22"/>
                <w:szCs w:val="22"/>
                <w:lang w:val="en-US" w:eastAsia="zh-CN" w:bidi="ar-SA"/>
              </w:rPr>
            </w:pPr>
            <w:r>
              <w:rPr>
                <w:rFonts w:hint="eastAsia" w:ascii="仿宋_GB2312" w:hAnsi="Calibri" w:eastAsia="仿宋_GB2312" w:cs="Times New Roman"/>
                <w:color w:val="000000"/>
                <w:kern w:val="2"/>
                <w:sz w:val="22"/>
                <w:szCs w:val="22"/>
                <w:lang w:val="en-US" w:eastAsia="zh-CN" w:bidi="ar-SA"/>
              </w:rPr>
              <w:t>加快实施高标准农田建设。</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2023年0.56万亩高标准农田建设已完工并通过市级验收；2024年0.7万亩高标准农田建设项目（国债项目）已开工建设，形象进度5%。</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20</w:t>
            </w:r>
          </w:p>
        </w:tc>
        <w:tc>
          <w:tcPr>
            <w:tcW w:w="4189"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加快实施双花水库除险加固、陆城垸排涝泵站改扩建工程建设。</w:t>
            </w:r>
          </w:p>
        </w:tc>
        <w:tc>
          <w:tcPr>
            <w:tcW w:w="163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区水利局</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双花水库除险加固：</w:t>
            </w:r>
            <w:r>
              <w:rPr>
                <w:rFonts w:hint="eastAsia" w:ascii="仿宋_GB2312" w:hAnsi="Times New Roman" w:eastAsia="仿宋_GB2312" w:cs="Times New Roman"/>
                <w:color w:val="000000"/>
                <w:sz w:val="22"/>
                <w:szCs w:val="22"/>
              </w:rPr>
              <w:t>已完成坝顶防浪墙拆除、帷幕灌浆平台准备、控制段溢流堰拆除、堰基灌浆防渗等，正在进行坝肩帷幕灌浆施工，溢洪道施工准备工作，总体进度达30%。</w:t>
            </w:r>
          </w:p>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陆城垸排涝泵站改扩建工程：</w:t>
            </w:r>
            <w:r>
              <w:rPr>
                <w:rFonts w:hint="eastAsia" w:ascii="仿宋_GB2312" w:hAnsi="Times New Roman" w:eastAsia="仿宋_GB2312" w:cs="Times New Roman"/>
                <w:color w:val="000000"/>
                <w:sz w:val="22"/>
                <w:szCs w:val="22"/>
              </w:rPr>
              <w:t>已完成长江干堤箱涵主体、土矶头泵站主泵房主体、长江大堤回填、泵站设备采购、新设电排设备安装等，正在进行土矶头泵站装饰装修、设备调试和节制闸建设，总体进度达80%。</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21</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完成3个和美乡村建设，完成100个农村户厕改（新）建，新增1个省级美丽乡村示范村、2个市级美丽乡村示范村。</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和美乡村：</w:t>
            </w:r>
            <w:r>
              <w:rPr>
                <w:rFonts w:hint="eastAsia" w:ascii="仿宋_GB2312" w:hAnsi="Times New Roman" w:eastAsia="仿宋_GB2312" w:cs="Times New Roman"/>
                <w:color w:val="000000"/>
                <w:sz w:val="22"/>
                <w:szCs w:val="22"/>
              </w:rPr>
              <w:t>清溪村完成沿村主路两侧油菜花种植和民俗树屋建设；双花村启动民宿项目太空舱、房车营地、亲子戏水平台、文化长廊等建设；八一村正在打造杨一鹏故里廉洁文化示范基地。预计10月份可完成创建任务。</w:t>
            </w:r>
          </w:p>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100个农村户厕改新建：</w:t>
            </w:r>
            <w:r>
              <w:rPr>
                <w:rFonts w:hint="eastAsia" w:ascii="仿宋_GB2312" w:hAnsi="Times New Roman" w:eastAsia="仿宋_GB2312" w:cs="Times New Roman"/>
                <w:color w:val="000000"/>
                <w:sz w:val="22"/>
                <w:szCs w:val="22"/>
              </w:rPr>
              <w:t>已完成69户。</w:t>
            </w:r>
          </w:p>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美丽乡村示范村：</w:t>
            </w:r>
            <w:r>
              <w:rPr>
                <w:rFonts w:hint="eastAsia" w:ascii="仿宋_GB2312" w:hAnsi="Times New Roman" w:eastAsia="仿宋_GB2312" w:cs="Times New Roman"/>
                <w:color w:val="000000"/>
                <w:sz w:val="22"/>
                <w:szCs w:val="22"/>
              </w:rPr>
              <w:t>拟申报创建清溪村、滨湖村为省级美丽乡村示范村。市级美丽乡村示范村：钢铁村基础设施建设完成63%，产业建设完成68%；建设村基础设施建设完成62%，产业建设完成65%。</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22</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刚性落实“三线一单”管控，坚决推进长江“十年禁渔”。</w:t>
            </w:r>
          </w:p>
        </w:tc>
        <w:tc>
          <w:tcPr>
            <w:tcW w:w="1630" w:type="dxa"/>
            <w:noWrap w:val="0"/>
            <w:vAlign w:val="center"/>
          </w:tcPr>
          <w:p>
            <w:pPr>
              <w:spacing w:line="30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区农业农村局</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共发放宣传资料10000余份，教育劝导违规垂钓人员180人次，收缴违规垂钓竿168余根。截至目前立案查处违规垂钓案件7起，生态环境损害赔偿1起，简易程序处罚35起，罚款1.245万元。</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23</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编制完善绿色化工高新区总体规划、控制性详细规</w:t>
            </w:r>
            <w:r>
              <w:rPr>
                <w:rFonts w:hint="eastAsia" w:ascii="仿宋_GB2312" w:hAnsi="Times New Roman" w:eastAsia="仿宋_GB2312" w:cs="Times New Roman"/>
                <w:color w:val="000000"/>
                <w:spacing w:val="-6"/>
                <w:sz w:val="22"/>
                <w:szCs w:val="22"/>
              </w:rPr>
              <w:t>划、现代石化产业发展规划以及水系、电力、热力、燃气、综合管廊等专项规划，引领石化产业高质量发展。</w:t>
            </w:r>
          </w:p>
        </w:tc>
        <w:tc>
          <w:tcPr>
            <w:tcW w:w="1630" w:type="dxa"/>
            <w:noWrap w:val="0"/>
            <w:vAlign w:val="center"/>
          </w:tcPr>
          <w:p>
            <w:pPr>
              <w:spacing w:line="30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岳阳现代石化产业园公用工程配套规划已完成；岳阳市现代化工物流发展报告已完成，正在进一步完善。</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9"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24</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统筹优化“一园三片”空间布局，实行绿色化工高新区166平方公里全面控建，加快推进调区扩区，重构园区发展新格局。</w:t>
            </w:r>
          </w:p>
        </w:tc>
        <w:tc>
          <w:tcPr>
            <w:tcW w:w="1630" w:type="dxa"/>
            <w:noWrap w:val="0"/>
            <w:vAlign w:val="center"/>
          </w:tcPr>
          <w:p>
            <w:pPr>
              <w:spacing w:line="30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已完成12.55平方公里范围内化工片区扩片工作方案，正在编制相关资料；20平方公里扩区工作正在向自然资源部寻求调划基本农田合适路径；336.94公顷调区工作资料编制已完成，正在市政府办文。</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14"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25</w:t>
            </w:r>
          </w:p>
        </w:tc>
        <w:tc>
          <w:tcPr>
            <w:tcW w:w="4189"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加快培育现代石化产业体系，着力延链补链强链，做大产业集群。</w:t>
            </w:r>
          </w:p>
        </w:tc>
        <w:tc>
          <w:tcPr>
            <w:tcW w:w="1630" w:type="dxa"/>
            <w:noWrap w:val="0"/>
            <w:vAlign w:val="center"/>
          </w:tcPr>
          <w:p>
            <w:pPr>
              <w:spacing w:line="30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更新完善“客商库”和“项目库”，开展延链补链强链招商。组建湖南现代石化产业协同创新研究院，整合企业和高校资源，与华南理工、西安交通大学等高校在项目管理、人才培养、技术孵化等方面开展合作，并就二氧化碳捕集利用、MOF基催化剂、黄酮等项目落地进行对接。积极申报国家级中小企业特色产业集群，目前已完成资料汇编。</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82"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26</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围绕乙烯、己内酰胺、环氧树脂、合成橡胶等优势产业链，着力引进己二腈、绵纶纺丝等项目。</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围绕现有优势产业，引进佛塑科技与湖南石化30万吨尼龙-6聚合、12万吨BOPA薄膜生产线项目和岳阳凯美特电子专用新材料项目。（佛塑科技拟建设年产30万吨尼龙-6聚合、12万吨BOPA薄膜项目，用地约400亩，计划投资30亿，拟与湖南石化合资并签订框架合作协议，目前正在编制可研报告，并基本锁定协议和地块。岳阳凯美特电子专用新材料项目待上领导小组会后签订入园协议。）</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27</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探索引进氯碱项目，做大做强环氧树脂产业。</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积极对接中煤集团、中盐集团、轻盐集团，中煤华中公司拟就动力岛合作项目规划建设3×600MW（或2×1000MW）等级超临界供热机组；中盐集团初步形成年产40万吨合成氨、60万吨尿素等项目建设方案；轻盐集团岳阳盐化煤化综合利用一体化项目目前编制可研中。</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28</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引进汽车轻量化、风电叶片、工程塑料等化工新材料项目，推动石化产业与省内新能源汽车、轨道交通、工程机械等主导产业协同发展。</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塑料改性项目、风电叶片原料生产项目、超高分子量聚乙烯项目包装并对外发布。与湖南石化、岳阳金瀚、聚成化工等企业达成技术攻关合作。促成湖南理工与岳阳兴长石化的特种环氧树脂研发、华南理工与中石化催化剂长岭分公司的MOF催化剂中试等项目正式签约，目前两个项目已分别进入小试和中试阶段。</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29</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做好乙烯下游产品市场研究，提前谋划布局后续配套项目，力争后续配套项目与乙烯项目同时建成、同时投产。</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善《乙烯下游产业链招商图谱》，积极推动瑞源石化新型环保材料基地建设、兴长集团12.5万吨/年裂解C9/裂解柴油加氢、辽宁信德年加工15万吨乙烯焦油生产锂电池负极包覆材料等项目入园。成立湖南省石化新材料院士专家工作站，并启动“岳阳石化下游延伸高质量发展战略研究”课题。</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63"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30</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常态化赴长三角、大湾区、京津冀等重点地区开展驻点招商，大力招引“三类500强”和行业领军企业，全年引进50亿元以上项目1个，10亿元以上项目5个。</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启动长三角、大湾区、京津冀重点地区常态化驻点招商工作。完成高新区宣传画册修订，正在修改完善宣传片。1-6月，园区共新签约29个项目，签约资金97.43亿元，其中10亿元以上项目1个。</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31</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全力推进天辰新材料项目启动建设。</w:t>
            </w:r>
          </w:p>
        </w:tc>
        <w:tc>
          <w:tcPr>
            <w:tcW w:w="1630" w:type="dxa"/>
            <w:noWrap w:val="0"/>
            <w:vAlign w:val="center"/>
          </w:tcPr>
          <w:p>
            <w:pPr>
              <w:spacing w:line="360" w:lineRule="exact"/>
              <w:jc w:val="center"/>
              <w:rPr>
                <w:rFonts w:ascii="Times New Roman" w:hAnsi="Times New Roman" w:eastAsia="宋体" w:cs="Times New Roman"/>
                <w:color w:val="000000"/>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已启动林业报批，国土报批已缴纳失地农民社保，区耕地指标费用暂未落实。</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9"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32</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己内酰胺配套搬迁项目、岳化新材尼龙-6聚合、佛塑拉伸膜等产业项目建成投产。</w:t>
            </w:r>
          </w:p>
        </w:tc>
        <w:tc>
          <w:tcPr>
            <w:tcW w:w="1630" w:type="dxa"/>
            <w:noWrap w:val="0"/>
            <w:vAlign w:val="center"/>
          </w:tcPr>
          <w:p>
            <w:pPr>
              <w:spacing w:line="360" w:lineRule="exact"/>
              <w:jc w:val="center"/>
              <w:rPr>
                <w:rFonts w:ascii="Times New Roman" w:hAnsi="Times New Roman" w:eastAsia="宋体" w:cs="Times New Roman"/>
                <w:color w:val="000000"/>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己内酰胺产业链装置尾气</w:t>
            </w:r>
            <w:r>
              <w:rPr>
                <w:rFonts w:hint="eastAsia" w:ascii="仿宋_GB2312" w:hAnsi="Times New Roman" w:eastAsia="仿宋_GB2312" w:cs="Times New Roman"/>
                <w:color w:val="000000"/>
                <w:spacing w:val="-4"/>
                <w:sz w:val="22"/>
                <w:szCs w:val="22"/>
              </w:rPr>
              <w:t>回收综合利用项目一期已投产，二期正在开展前期工作。</w:t>
            </w:r>
            <w:r>
              <w:rPr>
                <w:rFonts w:hint="eastAsia" w:ascii="仿宋_GB2312" w:hAnsi="Times New Roman" w:eastAsia="仿宋_GB2312" w:cs="Times New Roman"/>
                <w:color w:val="000000"/>
                <w:sz w:val="22"/>
                <w:szCs w:val="22"/>
              </w:rPr>
              <w:t>岳阳昌德新材料有限公司6万吨/年化工新材料延链危险化学品、12万吨/年己内酰胺资源综合利用、4万吨/年脂肪胺、2万吨/年环保型有机溶剂、10.5万吨/年醋酸酯项目危险化学品建设项目已投产。湖南岳化新材料股份有限公司45万吨/年尼龙-6聚合项目一期预计10月底投产。</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33</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全年新开工项目40个以上，新投产项目30个以上。</w:t>
            </w:r>
          </w:p>
        </w:tc>
        <w:tc>
          <w:tcPr>
            <w:tcW w:w="1630" w:type="dxa"/>
            <w:noWrap w:val="0"/>
            <w:vAlign w:val="center"/>
          </w:tcPr>
          <w:p>
            <w:pPr>
              <w:spacing w:line="360" w:lineRule="exact"/>
              <w:jc w:val="center"/>
              <w:rPr>
                <w:rFonts w:ascii="Times New Roman" w:hAnsi="Times New Roman" w:eastAsia="宋体" w:cs="Times New Roman"/>
                <w:color w:val="000000"/>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1-6月，新开工项目29个，完成投资额446.5亿元；新投产项目20个，完成投资额29.2亿元。</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18"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34</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实施高新区“基础设施建设年”行动，启动天辰大道、东环路、西环路等园区道路提质改造和天辰新材料项目场地平整。</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天辰大道道路工程完成可研立项批复，项目场地平整由第三方单位完成土石方外业测量工作，待方量确认后，适时启动项目可研编制；东环路正在进行项目可研编制；西环路工程完成招标程序，已开工建设。</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7"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35</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完成己内酰胺配套项目用地、长岭片区水系改造工程。</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己内酰胺配套项目用地水系改造工程：</w:t>
            </w:r>
            <w:r>
              <w:rPr>
                <w:rFonts w:hint="eastAsia" w:ascii="仿宋_GB2312" w:hAnsi="Times New Roman" w:eastAsia="仿宋_GB2312" w:cs="Times New Roman"/>
                <w:color w:val="000000"/>
                <w:sz w:val="22"/>
                <w:szCs w:val="22"/>
              </w:rPr>
              <w:t>正在省交通厅申报下穿G0421许广高速设计方案许可批复；区水利局已出具项目初设批复，项目概算批复正在与区发改局对接。</w:t>
            </w:r>
          </w:p>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岳阳地区炼化一体化项目长岭片区水系改造一期(撇洪渠）项目：</w:t>
            </w:r>
            <w:r>
              <w:rPr>
                <w:rFonts w:hint="eastAsia" w:ascii="仿宋_GB2312" w:hAnsi="Times New Roman" w:eastAsia="仿宋_GB2312" w:cs="Times New Roman"/>
                <w:color w:val="000000"/>
                <w:sz w:val="22"/>
                <w:szCs w:val="22"/>
              </w:rPr>
              <w:t>已完成EPC招标，并召开初步设计变更会，正在优化设计图纸和办理临时用地手续，正在进行现场临建施工。</w:t>
            </w:r>
          </w:p>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长岭片区水系改造二期（小河沟）项目：</w:t>
            </w:r>
            <w:r>
              <w:rPr>
                <w:rFonts w:hint="eastAsia" w:ascii="仿宋_GB2312" w:hAnsi="Times New Roman" w:eastAsia="仿宋_GB2312" w:cs="Times New Roman"/>
                <w:color w:val="000000"/>
                <w:sz w:val="22"/>
                <w:szCs w:val="22"/>
              </w:rPr>
              <w:t>正在修改图纸，图审完成后走报建流程。</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36</w:t>
            </w:r>
          </w:p>
        </w:tc>
        <w:tc>
          <w:tcPr>
            <w:tcW w:w="4189" w:type="dxa"/>
            <w:noWrap w:val="0"/>
            <w:vAlign w:val="center"/>
          </w:tcPr>
          <w:p>
            <w:pPr>
              <w:spacing w:line="33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加快推进供水、供电、燃气、蒸汽、污水处理、物料管廊等基础设施和公用工程建设，加快完善“双水源”“双气源”公用工程保障体系，提升承载能力。</w:t>
            </w:r>
          </w:p>
        </w:tc>
        <w:tc>
          <w:tcPr>
            <w:tcW w:w="1630" w:type="dxa"/>
            <w:noWrap w:val="0"/>
            <w:vAlign w:val="center"/>
          </w:tcPr>
          <w:p>
            <w:pPr>
              <w:spacing w:line="33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40" w:lineRule="exact"/>
              <w:rPr>
                <w:rFonts w:hint="eastAsia" w:ascii="仿宋_GB2312" w:hAnsi="Times New Roman" w:eastAsia="仿宋_GB2312" w:cs="Times New Roman"/>
                <w:color w:val="000000"/>
                <w:spacing w:val="-6"/>
                <w:sz w:val="22"/>
                <w:szCs w:val="22"/>
              </w:rPr>
            </w:pPr>
            <w:r>
              <w:rPr>
                <w:rFonts w:hint="eastAsia" w:ascii="仿宋_GB2312" w:hAnsi="Times New Roman" w:eastAsia="仿宋_GB2312" w:cs="Times New Roman"/>
                <w:b/>
                <w:bCs/>
                <w:color w:val="000000"/>
                <w:sz w:val="22"/>
                <w:szCs w:val="22"/>
              </w:rPr>
              <w:t>云溪片区：</w:t>
            </w:r>
            <w:r>
              <w:rPr>
                <w:rFonts w:hint="eastAsia" w:ascii="仿宋_GB2312" w:hAnsi="Times New Roman" w:eastAsia="仿宋_GB2312" w:cs="Times New Roman"/>
                <w:color w:val="000000"/>
                <w:sz w:val="22"/>
                <w:szCs w:val="22"/>
              </w:rPr>
              <w:t>1.供水:与龙源水库达成合作协议，已供水。2.蒸汽：已具备双蒸汽汽源，可供气量约为255t/h。3.物料管廊：天辰</w:t>
            </w:r>
            <w:r>
              <w:rPr>
                <w:rFonts w:hint="eastAsia" w:ascii="仿宋_GB2312" w:hAnsi="Times New Roman" w:eastAsia="仿宋_GB2312" w:cs="Times New Roman"/>
                <w:color w:val="000000"/>
                <w:spacing w:val="-6"/>
                <w:sz w:val="22"/>
                <w:szCs w:val="22"/>
              </w:rPr>
              <w:t>大道管廊管架项目已立项，正在编制初步设计和概算报告。</w:t>
            </w:r>
          </w:p>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长岭片区：</w:t>
            </w:r>
            <w:r>
              <w:rPr>
                <w:rFonts w:hint="eastAsia" w:ascii="仿宋_GB2312" w:hAnsi="Times New Roman" w:eastAsia="仿宋_GB2312" w:cs="Times New Roman"/>
                <w:color w:val="000000"/>
                <w:sz w:val="22"/>
                <w:szCs w:val="22"/>
              </w:rPr>
              <w:t>1.供水：生活用水(龙源水)管网建设项目完成立项和初步设计，概算报告正在审核。2.蒸汽：蒸汽供能暂能满足企业生产需求，乙烯项目建成投产后作为第二蒸汽汽源补充。3.污水处理：拟建长岭片区污水处理厂、稳定池及排江管线项目，已完成可行性研究报告，根据管委会年度计划，暂缓立项。4.物料管廊：拟建厂际管廊项目，并完成可行性研究报告（初版）编制工作。</w:t>
            </w:r>
          </w:p>
        </w:tc>
        <w:tc>
          <w:tcPr>
            <w:tcW w:w="541" w:type="dxa"/>
            <w:noWrap w:val="0"/>
            <w:vAlign w:val="center"/>
          </w:tcPr>
          <w:p>
            <w:pPr>
              <w:spacing w:line="32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2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2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37</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加快智慧化园区建设，完成园区智能化硬件设备升级改造和云溪片区闭环管理，创建“D级化工园区”。</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完成创建D级园区“一园一策”工作方案，启动云溪片区封闭化管理工作。</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38</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实施创新平台提级行动，巩固省级创新型区创建成果，加强与院士专家对接合作，办好博士云溪行暨石油化工产业发展论坛。</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初步制定博士云溪行暨石油化工产业发展论坛活动方案。</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2"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39</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加快建设长炼新材料化工催化材料中试基地等各类平台载体，推动湖南现代石化协同创新研究院实质性运转。</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兴长石化股份公司的湖南省高分子聚合物新材料中试平台获省工信厅批复；长炼新材料化工催化材料中试基地就服务中国石油化工股份有限公司济南分公司的重整生成油加氢环保治理、南京工业大学的膜分散强化加氢反应流程再造技术与示范合作研发等项目签订中试服务合同8项，合同成交额1998.8万元。湖南现代石化协同创新研究院暂未完成机构注册。</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40</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精选一批有技术优势、有市场前景、有发展潜力的中小企业，在产业升级、科技创新、专项资金申报、优惠政策争取等方面实行重点服务、重点扶持。</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推荐凯门、聚仁、中创等6家公司申报2024年度湖南省“三尖”创新人才工程项目；推荐凯门、淳湘农林等4家企业人才团队申报2024年度省企业科技创新创业团队支持项目；推荐中创、东为等9家企业申报岳阳市2024年度科技重大攻关项目需求、十大技术攻关项目需求和重点研发计划项目；推荐中顺、东为申报2024年度中央引导地方科技发展资金项目。</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4"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41</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加快低碳转型，稳妥有序推进“双碳”工作，争取纳入国家“碳达峰”试点园区。</w:t>
            </w:r>
          </w:p>
        </w:tc>
        <w:tc>
          <w:tcPr>
            <w:tcW w:w="1630" w:type="dxa"/>
            <w:noWrap w:val="0"/>
            <w:vAlign w:val="center"/>
          </w:tcPr>
          <w:p>
            <w:pPr>
              <w:spacing w:line="360" w:lineRule="exact"/>
              <w:jc w:val="center"/>
              <w:rPr>
                <w:rFonts w:ascii="Times New Roman" w:hAnsi="Times New Roman" w:eastAsia="宋体" w:cs="Times New Roman"/>
                <w:color w:val="000000"/>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双碳管理平台搭建完成，正在测试平台运行稳定性。园区碳达峰管理方案初稿编制完成，正在进行内审和调整。</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9"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42</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严</w:t>
            </w:r>
            <w:r>
              <w:rPr>
                <w:rFonts w:hint="eastAsia" w:ascii="仿宋_GB2312" w:hAnsi="Times New Roman" w:eastAsia="仿宋_GB2312" w:cs="Times New Roman"/>
                <w:color w:val="000000"/>
                <w:spacing w:val="-6"/>
                <w:sz w:val="22"/>
                <w:szCs w:val="22"/>
              </w:rPr>
              <w:t>把“两高”项目准入，对不符合产业链发展规划、不符合安环要求、不符合“3360”标准的项目一律不得入园。</w:t>
            </w:r>
          </w:p>
        </w:tc>
        <w:tc>
          <w:tcPr>
            <w:tcW w:w="1630" w:type="dxa"/>
            <w:noWrap w:val="0"/>
            <w:vAlign w:val="center"/>
          </w:tcPr>
          <w:p>
            <w:pPr>
              <w:spacing w:line="360" w:lineRule="exact"/>
              <w:jc w:val="center"/>
              <w:rPr>
                <w:rFonts w:ascii="Times New Roman" w:hAnsi="Times New Roman" w:eastAsia="宋体" w:cs="Times New Roman"/>
                <w:color w:val="000000"/>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所有项目准入均按项目评审要求落实到位。</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43</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深入开展“十有两禁”安全整治提升行动，完成园区综合信息平台建设，实现安环风险分级管控与隐患排查治理双重控制，提高监管执法水平。</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绿色化工高新区</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与中国安科院签订整体性安全风险评估项目合同。结合重大安全风险防控项目，实施园区综合信息平台升级建设，建设风险分级管控与隐患排查治理双重控制模块，正在准备验收材料。</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44</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建立市容和环境卫生管理长效机制，常态化开展路域环境整治、道路美化绿化、垃圾清扫、街道“牛皮癣”清理工作，统筹抓好城乡结合部、农贸市场、背街小巷专项整治，擦亮城市建设管理“云溪名片”。</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区卫健局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常态化开展市容秩序整治，整治店外作业160余家，清理牛皮癣1300余份；完成城区主次干道绿化带修剪2次，杂草清理3次。完成菱泊湖社区农贸市场迁址工程。</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45</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持续改善中小学办学条件，加强教师队伍建设，争创全国县域义务教育优质均衡先行区。</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区教体局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组织评选全区劳动教育实验校、心理健康示范校，并接受全国义务教育质量监测。计划招录公费师范生15名，选调教师5名，公开招聘教师9名，安置公费师范生33名。</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4"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46</w:t>
            </w:r>
          </w:p>
        </w:tc>
        <w:tc>
          <w:tcPr>
            <w:tcW w:w="4189" w:type="dxa"/>
            <w:noWrap w:val="0"/>
            <w:vAlign w:val="center"/>
          </w:tcPr>
          <w:p>
            <w:pPr>
              <w:spacing w:line="360" w:lineRule="exact"/>
              <w:rPr>
                <w:rFonts w:hint="eastAsia" w:ascii="仿宋_GB2312" w:hAnsi="Times New Roman" w:eastAsia="仿宋_GB2312" w:cs="Times New Roman"/>
                <w:color w:val="000000"/>
                <w:spacing w:val="6"/>
                <w:sz w:val="22"/>
                <w:szCs w:val="22"/>
              </w:rPr>
            </w:pPr>
            <w:r>
              <w:rPr>
                <w:rFonts w:hint="eastAsia" w:ascii="仿宋_GB2312" w:hAnsi="Times New Roman" w:eastAsia="仿宋_GB2312" w:cs="Times New Roman"/>
                <w:color w:val="000000"/>
                <w:spacing w:val="6"/>
                <w:sz w:val="22"/>
                <w:szCs w:val="22"/>
              </w:rPr>
              <w:t>启动区级医院重点专科建设，培育云溪“名院、名科、名医”。</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区卫健局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区中医医院新科室治未病健康管理中心建成投用，并挂牌岳阳市中医医院艾金长教授名医工作室，提高了治未病诊疗技术。</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47</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落实全民参保计划，确保基本医保参保率95%以上，特困人员、低保对象等人员100%参保，全区医保定点医疗机构监管督导覆盖率100%。</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区医保局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区基本医保参保14.96万人，参保率98.44%。资助特困救助对象、重度残疾人、孤儿、事实无人抚养儿童等困难人群参保5601人，参保率100%。1至7月，对全区118家区内定点医药机构进行了监管稽核，监管督导覆盖率81.4%。</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48</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完成云溪小学改扩建。</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区教体局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云溪小学改扩建项目主体结构已完成，正在进行内部装修，预计9月底完工。</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49</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新增安居园等3家社区卫生服务站，完成云溪街道社区卫生服务中心医疗就诊通道建设。</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区卫健局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新增金盆社区、安居园社区卫生服务站；云溪街道社区卫生服务中心医疗就诊通道建设已完成90%，预计8月底投入使用。</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50</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新注册“湘商回归”企业8家，实际到位资金39亿元。</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区商粮局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1-6月，新注册“湘商回归”企业5家，实际到位资金25.91亿元。</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8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51</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启动彭家湾散货码头、段家冲物流园建设，加快布局一批危货物流企业。</w:t>
            </w:r>
          </w:p>
        </w:tc>
        <w:tc>
          <w:tcPr>
            <w:tcW w:w="1630"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r>
              <w:rPr>
                <w:rFonts w:hint="eastAsia" w:ascii="仿宋_GB2312" w:hAnsi="Times New Roman" w:eastAsia="仿宋_GB2312" w:cs="Times New Roman"/>
                <w:color w:val="000000"/>
                <w:spacing w:val="-6"/>
                <w:sz w:val="22"/>
                <w:szCs w:val="22"/>
              </w:rPr>
              <w:t>区交通局</w:t>
            </w:r>
          </w:p>
          <w:p>
            <w:pPr>
              <w:spacing w:line="360" w:lineRule="exact"/>
              <w:jc w:val="center"/>
              <w:rPr>
                <w:rFonts w:hint="eastAsia" w:ascii="仿宋_GB2312" w:hAnsi="Times New Roman" w:eastAsia="仿宋_GB2312" w:cs="Times New Roman"/>
                <w:color w:val="000000"/>
                <w:spacing w:val="-12"/>
                <w:sz w:val="22"/>
                <w:szCs w:val="22"/>
              </w:rPr>
            </w:pPr>
            <w:r>
              <w:rPr>
                <w:rFonts w:hint="eastAsia" w:ascii="仿宋_GB2312" w:hAnsi="Times New Roman" w:eastAsia="仿宋_GB2312" w:cs="Times New Roman"/>
                <w:color w:val="000000"/>
                <w:spacing w:val="-12"/>
                <w:sz w:val="22"/>
                <w:szCs w:val="22"/>
              </w:rPr>
              <w:t>区物流发展服务中心</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彭家湾散货码头:</w:t>
            </w:r>
            <w:r>
              <w:rPr>
                <w:rFonts w:hint="eastAsia" w:ascii="仿宋_GB2312" w:hAnsi="Times New Roman" w:eastAsia="仿宋_GB2312" w:cs="Times New Roman"/>
                <w:color w:val="000000"/>
                <w:sz w:val="22"/>
                <w:szCs w:val="22"/>
              </w:rPr>
              <w:t>湖南石化已完成6#-7#泊位省发改委立项批复和前期所有专题评估审查。项目初步设计取得省交通厅批复并完成EPC招标，目前正在进行施工图设计。</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段家冲物流园</w:t>
            </w:r>
            <w:r>
              <w:rPr>
                <w:rFonts w:hint="eastAsia" w:ascii="仿宋_GB2312" w:hAnsi="Times New Roman" w:eastAsia="仿宋_GB2312" w:cs="Times New Roman"/>
                <w:color w:val="000000"/>
                <w:sz w:val="22"/>
                <w:szCs w:val="22"/>
              </w:rPr>
              <w:t>：征拆与土地报批工作基本完成，正在进行土地摘牌出让工作。</w:t>
            </w:r>
          </w:p>
        </w:tc>
        <w:tc>
          <w:tcPr>
            <w:tcW w:w="541"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r>
              <w:rPr>
                <w:rFonts w:hint="eastAsia" w:ascii="仿宋" w:hAnsi="Times New Roman" w:eastAsia="仿宋" w:cs="仿宋"/>
                <w:color w:val="000000"/>
                <w:spacing w:val="-6"/>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52</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实现全年外贸进出口达到9亿元，外贸实绩企业达到30家。</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区商粮局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1-6月，外贸进出口总额完成4.9亿元，外贸实绩企业达31家。</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53</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全年新增高新技术企业10家，科技型中小企业入库突破140家；催生一批专精特新“小巨人”企业和单项冠军企业，全年新增规模工业企业4家。</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区科工局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第一批14家高新技术企业申报（4家为新增认定，10家为复审），正在组织第二批申报工作；科技型中小企业入库工作因省厅未开启申报端口暂未启动；推荐2家企业申报专精特新“小巨人”企业；湖南中创化工股份有限公司成功入选第八批国家级制造业单项冠军企业；正在培育4家企业年底入规。</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5"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54</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大力推进“智赋万企”行动，切实为企业提供数智化转型服务。</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区科工局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1-6月，上云企业133家，上平台企业26家。成功申报1家智能制造产线（车间）、10家智能工位，待省工信厅审批。</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55</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加快推进乙烯项目配套3条道路建设，完成和平大道、云华路提质改造和S208、S209、S501道路交通安全设施精细化提升工程。</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区公路建养中心</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乙烯配套路网：</w:t>
            </w:r>
            <w:r>
              <w:rPr>
                <w:rFonts w:hint="eastAsia" w:ascii="仿宋_GB2312" w:hAnsi="Times New Roman" w:eastAsia="仿宋_GB2312" w:cs="Times New Roman"/>
                <w:color w:val="000000"/>
                <w:sz w:val="22"/>
                <w:szCs w:val="22"/>
              </w:rPr>
              <w:t>3条道路已开工建设。完成配套路网3条公路91户红线外房屋和130多亩破塘面积的三方确认。</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和平大道：</w:t>
            </w:r>
            <w:r>
              <w:rPr>
                <w:rFonts w:hint="eastAsia" w:ascii="仿宋_GB2312" w:hAnsi="Times New Roman" w:eastAsia="仿宋_GB2312" w:cs="Times New Roman"/>
                <w:color w:val="000000"/>
                <w:sz w:val="22"/>
                <w:szCs w:val="22"/>
              </w:rPr>
              <w:t>已完成1900米，剩余500米需待乙烯土石方外运（体量约270万方）后，再进行建设。</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云华路提质改造：</w:t>
            </w:r>
            <w:r>
              <w:rPr>
                <w:rFonts w:hint="eastAsia" w:ascii="仿宋_GB2312" w:hAnsi="Times New Roman" w:eastAsia="仿宋_GB2312" w:cs="Times New Roman"/>
                <w:color w:val="000000"/>
                <w:sz w:val="22"/>
                <w:szCs w:val="22"/>
              </w:rPr>
              <w:t>完成松杨湖街道段7公里“白改黑”建设任务；云溪街道段3.2公里正在进行路面拓宽硬化扫尾。</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望姜路5.2公里提质改造：</w:t>
            </w:r>
            <w:r>
              <w:rPr>
                <w:rFonts w:hint="eastAsia" w:ascii="仿宋_GB2312" w:hAnsi="Times New Roman" w:eastAsia="仿宋_GB2312" w:cs="Times New Roman"/>
                <w:color w:val="000000"/>
                <w:sz w:val="22"/>
                <w:szCs w:val="22"/>
              </w:rPr>
              <w:t xml:space="preserve">路面破损维修部分正在进行修补施工。望姜路改造纳入农村公路大中修白改黑项目，目前正在组织财评，待完成路面修补作业后提质改造。 </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3条省道精细化提升工程：</w:t>
            </w:r>
            <w:r>
              <w:rPr>
                <w:rFonts w:hint="eastAsia" w:ascii="仿宋_GB2312" w:hAnsi="Times New Roman" w:eastAsia="仿宋_GB2312" w:cs="Times New Roman"/>
                <w:color w:val="000000"/>
                <w:sz w:val="22"/>
                <w:szCs w:val="22"/>
              </w:rPr>
              <w:t>S208、S209已完成。S501完成设计批复，正在进行财评。</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56</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加快推进疏港公路（三期）建设。</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区交通局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松杨湖一桥完成栈桥搭建，正在进行水下桩基施工；松杨湖二桥完成部分栈桥搭建，正在进行高压塔迁改评估。</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57</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完成随岳高速云溪出口提质改造，建成运营农村客货邮服务中心。</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区交通局</w:t>
            </w:r>
          </w:p>
          <w:p>
            <w:pPr>
              <w:spacing w:line="360" w:lineRule="exact"/>
              <w:jc w:val="center"/>
              <w:rPr>
                <w:rFonts w:hint="eastAsia" w:ascii="仿宋_GB2312" w:hAnsi="Times New Roman" w:eastAsia="仿宋_GB2312" w:cs="Times New Roman"/>
                <w:color w:val="000000"/>
                <w:spacing w:val="-12"/>
                <w:sz w:val="22"/>
                <w:szCs w:val="22"/>
              </w:rPr>
            </w:pPr>
            <w:r>
              <w:rPr>
                <w:rFonts w:hint="eastAsia" w:ascii="仿宋_GB2312" w:hAnsi="Times New Roman" w:eastAsia="仿宋_GB2312" w:cs="Times New Roman"/>
                <w:color w:val="000000"/>
                <w:spacing w:val="-12"/>
                <w:sz w:val="22"/>
                <w:szCs w:val="22"/>
              </w:rPr>
              <w:t>区物流发展服务中心</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随岳高速云溪出口提质改造：</w:t>
            </w:r>
            <w:r>
              <w:rPr>
                <w:rFonts w:hint="eastAsia" w:ascii="仿宋_GB2312" w:hAnsi="Times New Roman" w:eastAsia="仿宋_GB2312" w:cs="Times New Roman"/>
                <w:color w:val="000000"/>
                <w:sz w:val="22"/>
                <w:szCs w:val="22"/>
              </w:rPr>
              <w:t>完成工可批复、初步设计审查和征拆任务，正在与道岳公司走协议签订程序。</w:t>
            </w:r>
          </w:p>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农村客货邮服务中心：</w:t>
            </w:r>
            <w:r>
              <w:rPr>
                <w:rFonts w:hint="eastAsia" w:ascii="仿宋_GB2312" w:hAnsi="Times New Roman" w:eastAsia="仿宋_GB2312" w:cs="Times New Roman"/>
                <w:color w:val="000000"/>
                <w:sz w:val="22"/>
                <w:szCs w:val="22"/>
              </w:rPr>
              <w:t>全区共设立33个村级站点，涉及11条农村公交线路，快递分拣中心主体工程建设完成60%。</w:t>
            </w:r>
          </w:p>
        </w:tc>
        <w:tc>
          <w:tcPr>
            <w:tcW w:w="541"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pacing w:val="-6"/>
                <w:sz w:val="22"/>
                <w:szCs w:val="22"/>
              </w:rPr>
            </w:pPr>
            <w:r>
              <w:rPr>
                <w:rFonts w:hint="eastAsia" w:ascii="仿宋" w:hAnsi="Times New Roman" w:eastAsia="仿宋" w:cs="仿宋"/>
                <w:color w:val="000000"/>
                <w:spacing w:val="-6"/>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58</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完成9.6公里农村道路“白改黑”和40公里农村公路安全防护工程，新建农村公路桥梁1座。</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区公路建养中心</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农村道路“白改黑”：</w:t>
            </w:r>
            <w:r>
              <w:rPr>
                <w:rFonts w:hint="eastAsia" w:ascii="仿宋_GB2312" w:hAnsi="Times New Roman" w:eastAsia="仿宋_GB2312" w:cs="Times New Roman"/>
                <w:color w:val="000000"/>
                <w:sz w:val="22"/>
                <w:szCs w:val="22"/>
              </w:rPr>
              <w:t>完成5.719公里4条道路“白改黑”，剩余4.458公里7条道路正在办理财评初审。</w:t>
            </w:r>
          </w:p>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农村公路安防工程总里程105公里：</w:t>
            </w:r>
            <w:r>
              <w:rPr>
                <w:rFonts w:hint="eastAsia" w:ascii="仿宋_GB2312" w:hAnsi="Times New Roman" w:eastAsia="仿宋_GB2312" w:cs="Times New Roman"/>
                <w:color w:val="000000"/>
                <w:sz w:val="22"/>
                <w:szCs w:val="22"/>
              </w:rPr>
              <w:t>正在进行一期42公里安防建设施工，已完成27公里。二期63公里正在由镇（街道）办理财评初审和招投标工作。</w:t>
            </w:r>
          </w:p>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农村公路危桥1</w:t>
            </w:r>
            <w:r>
              <w:rPr>
                <w:rFonts w:hint="eastAsia" w:ascii="仿宋_GB2312" w:hAnsi="Times New Roman" w:eastAsia="仿宋_GB2312" w:cs="Times New Roman"/>
                <w:b/>
                <w:bCs/>
                <w:color w:val="000000"/>
                <w:spacing w:val="-6"/>
                <w:sz w:val="22"/>
                <w:szCs w:val="22"/>
              </w:rPr>
              <w:t>座：</w:t>
            </w:r>
            <w:r>
              <w:rPr>
                <w:rFonts w:hint="eastAsia" w:ascii="仿宋_GB2312" w:hAnsi="Times New Roman" w:eastAsia="仿宋_GB2312" w:cs="Times New Roman"/>
                <w:color w:val="000000"/>
                <w:spacing w:val="-6"/>
                <w:sz w:val="22"/>
                <w:szCs w:val="22"/>
              </w:rPr>
              <w:t>国安桥已完成设计及批复和财评，暂未开工。</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59</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完成云溪城区片、路口片、陆城片等9个片区控制性详细规划编制，推动城镇开发边界内的控规全覆盖。</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区自然资源局</w:t>
            </w:r>
          </w:p>
        </w:tc>
        <w:tc>
          <w:tcPr>
            <w:tcW w:w="6471" w:type="dxa"/>
            <w:noWrap w:val="0"/>
            <w:vAlign w:val="center"/>
          </w:tcPr>
          <w:p>
            <w:pPr>
              <w:spacing w:line="34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高新区云溪区片、巴陵片和长岭片的控规基本编制完成；云溪城区片和路口片控规结合产城配套规划一并编制，目前已完成技术单位选定、现场踏勘、基础资料收集，正在编制初步方案；坪田片区已纳入胥家桥物流园规划，由市级统筹编制，陆城片、道仁矶片预计今年启动编制，留白片预计明年启动编制。</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60</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积极承接胥家桥综合物流园、岳阳自贸片区的辐射效应，高标准推进云港路、欣港东路周边片区开发建设。</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区自然资源局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云港路周边用地纳入园区规划。欣港路纳入云溪城区片控规，编制城市设计方案。洗马路以东、开泰路以南、云鹰小区以西区域正在编制城市设计方案，明确功能定位，推进整体开发。</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61</w:t>
            </w:r>
          </w:p>
        </w:tc>
        <w:tc>
          <w:tcPr>
            <w:tcW w:w="4189" w:type="dxa"/>
            <w:noWrap w:val="0"/>
            <w:vAlign w:val="center"/>
          </w:tcPr>
          <w:p>
            <w:pPr>
              <w:spacing w:line="360" w:lineRule="exact"/>
              <w:rPr>
                <w:rFonts w:hint="eastAsia" w:ascii="仿宋_GB2312" w:hAnsi="Times New Roman" w:eastAsia="仿宋_GB2312" w:cs="Times New Roman"/>
                <w:color w:val="000000"/>
                <w:spacing w:val="6"/>
                <w:sz w:val="22"/>
                <w:szCs w:val="22"/>
              </w:rPr>
            </w:pPr>
            <w:r>
              <w:rPr>
                <w:rFonts w:hint="eastAsia" w:ascii="仿宋_GB2312" w:hAnsi="Times New Roman" w:eastAsia="仿宋_GB2312" w:cs="Times New Roman"/>
                <w:color w:val="000000"/>
                <w:spacing w:val="6"/>
                <w:sz w:val="22"/>
                <w:szCs w:val="22"/>
              </w:rPr>
              <w:t>做好城南新区四路围合地块等城区闲置土地开发利用。</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区自然资源局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城南新区四路围合地块用地完成拆迁，正在进行招商引资，待确定意向单位后出让供应。</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62</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全面完成城市地下市政基础设施普查，加强设施维护管理，建立管理长效机制。</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区住建局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完成云溪、长岭、松杨湖街道城市建成区和路口、陆城集镇建成区主干道及街巷范围内的8大类管线室外普查，综合数据市级正在组织验收。</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63</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完善生活垃圾分类收运处置体系，提高生活垃圾减量化、资源化、无害化水平。</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区城管局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制定《云溪区2024年城市生活垃圾分类工作实施方案》《岳阳市云溪区城市生活垃圾分类工作评估办法》《云溪区2024年城市生活垃圾分类工作操作细则》。完成1处垃圾分类屋、64处四分类亭、128处两分类投放点选址工作；升级改造二分类设施637处；升级改造分类亭16处。</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64</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加强物业管理，建设宜居小区。</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区住建局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组织全区物业企业和社区参加物业专项维修资金使用培训，进一步规范使用行为，截至6月底，共拨付维修资金725972元。</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65</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落实田长制，扛牢粮食安全责任，坚决遏制耕地“非农化”“非粮化”。</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区自然资源局</w:t>
            </w:r>
          </w:p>
        </w:tc>
        <w:tc>
          <w:tcPr>
            <w:tcW w:w="6471" w:type="dxa"/>
            <w:noWrap w:val="0"/>
            <w:vAlign w:val="center"/>
          </w:tcPr>
          <w:p>
            <w:pPr>
              <w:spacing w:line="354"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省田长办共下发4个耕地“非农化”“非粮化”任务图斑，已完成3个图斑销号工作，剩余1个图斑正在举证上报上级审核。</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8"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66</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推深做实“林长制”，大力推进国土绿化。</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区林业局</w:t>
            </w:r>
          </w:p>
        </w:tc>
        <w:tc>
          <w:tcPr>
            <w:tcW w:w="6471" w:type="dxa"/>
            <w:noWrap w:val="0"/>
            <w:vAlign w:val="center"/>
          </w:tcPr>
          <w:p>
            <w:pPr>
              <w:spacing w:line="354"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各级林长开展巡林1000余次，护林员有效巡护率和巡护点打卡率均为97%以上。完成人工造林2000亩和低质低效林改造1000亩，义务植树尽责率85%以上；村庄绿化任务完成道路50.78公里、绿地6.5亩。全面拔除松材线虫病疫区，未发生一起较大以上森林火灾。</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67</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改造老旧小区2个，新建公租房83套，保障性租赁住房100套。</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区住建局</w:t>
            </w:r>
          </w:p>
        </w:tc>
        <w:tc>
          <w:tcPr>
            <w:tcW w:w="6471" w:type="dxa"/>
            <w:noWrap w:val="0"/>
            <w:vAlign w:val="center"/>
          </w:tcPr>
          <w:p>
            <w:pPr>
              <w:spacing w:line="354"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2个老旧小区改造、183套保障性住房项目已开工建设。</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68</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创造最优环境，全流程服务乙烯项目开工建设，确保无阻工、无纠纷、无强揽工程。</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公安分局</w:t>
            </w:r>
          </w:p>
        </w:tc>
        <w:tc>
          <w:tcPr>
            <w:tcW w:w="6471" w:type="dxa"/>
            <w:noWrap w:val="0"/>
            <w:vAlign w:val="center"/>
          </w:tcPr>
          <w:p>
            <w:pPr>
              <w:spacing w:line="354"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对重点工程建设工地周边走访调查，排查不稳定因素，及时开展矛盾纠纷化解工作，重点工程项目施工顺利。</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69</w:t>
            </w:r>
          </w:p>
        </w:tc>
        <w:tc>
          <w:tcPr>
            <w:tcW w:w="4189" w:type="dxa"/>
            <w:noWrap w:val="0"/>
            <w:vAlign w:val="center"/>
          </w:tcPr>
          <w:p>
            <w:pPr>
              <w:spacing w:line="360" w:lineRule="exact"/>
              <w:rPr>
                <w:rFonts w:hint="eastAsia" w:ascii="仿宋_GB2312" w:hAnsi="Times New Roman" w:eastAsia="仿宋_GB2312" w:cs="Times New Roman"/>
                <w:color w:val="000000"/>
                <w:spacing w:val="4"/>
                <w:sz w:val="22"/>
                <w:szCs w:val="22"/>
              </w:rPr>
            </w:pPr>
            <w:r>
              <w:rPr>
                <w:rFonts w:hint="eastAsia" w:ascii="仿宋_GB2312" w:hAnsi="Times New Roman" w:eastAsia="仿宋_GB2312" w:cs="Times New Roman"/>
                <w:color w:val="000000"/>
                <w:spacing w:val="4"/>
                <w:sz w:val="22"/>
                <w:szCs w:val="22"/>
              </w:rPr>
              <w:t>开展首届“最美退役军人”评选活动，争创省级双拥模范城。</w:t>
            </w:r>
          </w:p>
        </w:tc>
        <w:tc>
          <w:tcPr>
            <w:tcW w:w="1630" w:type="dxa"/>
            <w:noWrap w:val="0"/>
            <w:vAlign w:val="center"/>
          </w:tcPr>
          <w:p>
            <w:pPr>
              <w:spacing w:line="360" w:lineRule="exact"/>
              <w:jc w:val="center"/>
              <w:rPr>
                <w:rFonts w:hint="eastAsia" w:ascii="仿宋_GB2312" w:hAnsi="Times New Roman" w:eastAsia="仿宋_GB2312" w:cs="Times New Roman"/>
                <w:color w:val="000000"/>
                <w:spacing w:val="-2"/>
                <w:sz w:val="22"/>
                <w:szCs w:val="22"/>
              </w:rPr>
            </w:pPr>
            <w:r>
              <w:rPr>
                <w:rFonts w:hint="eastAsia" w:ascii="仿宋_GB2312" w:hAnsi="Times New Roman" w:eastAsia="仿宋_GB2312" w:cs="Times New Roman"/>
                <w:color w:val="000000"/>
                <w:spacing w:val="-2"/>
                <w:sz w:val="22"/>
                <w:szCs w:val="22"/>
              </w:rPr>
              <w:t>区退役军人事务局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组织开展首届“最美退役军人”评选活动，12人获得“最美退役军人”。1-6月，共接待来访人员113人次，回复信访件5件，处置红色预警1件，无一人次到市赴省进京上访。</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70</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完善社会治安防控体系，常态化开展扫黑除恶斗争，依法严厉打击非法集资、电信网络诈骗、黄赌毒等违法犯罪行为，争创全省平安县市区。</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公安分局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上半年全区刑事案件立案260起，治安案件受案415起，分别同比下降29.5%、6.3%；刑事案件破案146起，治安案件结案315起，分别同比增长39%、12.5%。全区共发电诈案件123起,发案率同比下降44.34%,破案率26%。</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71</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做优“帮代办”服务，大力推行项目投资并联审批、容缺审批，为项目落地提供“一站式”办公和“一条龙”服务，确保审批提速60%以上。</w:t>
            </w:r>
          </w:p>
        </w:tc>
        <w:tc>
          <w:tcPr>
            <w:tcW w:w="1630" w:type="dxa"/>
            <w:noWrap w:val="0"/>
            <w:vAlign w:val="center"/>
          </w:tcPr>
          <w:p>
            <w:pPr>
              <w:spacing w:line="360" w:lineRule="exact"/>
              <w:jc w:val="center"/>
              <w:rPr>
                <w:rFonts w:hint="eastAsia" w:ascii="仿宋_GB2312" w:hAnsi="Times New Roman" w:eastAsia="仿宋_GB2312" w:cs="Times New Roman"/>
                <w:color w:val="000000"/>
                <w:spacing w:val="-2"/>
                <w:sz w:val="22"/>
                <w:szCs w:val="22"/>
              </w:rPr>
            </w:pPr>
            <w:r>
              <w:rPr>
                <w:rFonts w:hint="eastAsia" w:ascii="仿宋_GB2312" w:hAnsi="Times New Roman" w:eastAsia="仿宋_GB2312" w:cs="Times New Roman"/>
                <w:color w:val="000000"/>
                <w:spacing w:val="-2"/>
                <w:sz w:val="22"/>
                <w:szCs w:val="22"/>
              </w:rPr>
              <w:t>区数据局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截至目前，共为82个企业（项目）帮代办服务813余次。推行“告知承诺+容缺受理+并联审批”,审批服务承诺办结时限对比法定时限提速60.2%。</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72</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积极争取省市级行政审批权下放，力争园区赋权事项达200项以上。</w:t>
            </w:r>
          </w:p>
        </w:tc>
        <w:tc>
          <w:tcPr>
            <w:tcW w:w="1630" w:type="dxa"/>
            <w:noWrap w:val="0"/>
            <w:vAlign w:val="center"/>
          </w:tcPr>
          <w:p>
            <w:pPr>
              <w:spacing w:line="360" w:lineRule="exact"/>
              <w:jc w:val="center"/>
              <w:rPr>
                <w:rFonts w:hint="eastAsia" w:ascii="仿宋_GB2312" w:hAnsi="Times New Roman" w:eastAsia="仿宋_GB2312" w:cs="Times New Roman"/>
                <w:color w:val="000000"/>
                <w:spacing w:val="-2"/>
                <w:sz w:val="22"/>
                <w:szCs w:val="22"/>
              </w:rPr>
            </w:pPr>
            <w:r>
              <w:rPr>
                <w:rFonts w:hint="eastAsia" w:ascii="仿宋_GB2312" w:hAnsi="Times New Roman" w:eastAsia="仿宋_GB2312" w:cs="Times New Roman"/>
                <w:color w:val="000000"/>
                <w:spacing w:val="-2"/>
                <w:sz w:val="22"/>
                <w:szCs w:val="22"/>
              </w:rPr>
              <w:t>区数据局</w:t>
            </w:r>
          </w:p>
        </w:tc>
        <w:tc>
          <w:tcPr>
            <w:tcW w:w="6471" w:type="dxa"/>
            <w:noWrap w:val="0"/>
            <w:vAlign w:val="center"/>
          </w:tcPr>
          <w:p>
            <w:pPr>
              <w:spacing w:line="32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按照“能放能收”的动态调整机制，取消1项委托权限，调整2项“服务前移”事项改为“委托行使”。完成园区第二批赋权共计64项，目前赋权事项达235项。</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7"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73</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办好“云溪学子看云溪”工业研学活动。</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区文旅广电局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圆满完成“云溪学子看云溪”工业研学活动。</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6"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74</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举办“喜看云溪新变化”、“民俗闹元宵”等系列活动。</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区政府办</w:t>
            </w:r>
          </w:p>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区文旅广电局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圆满完成“喜看云溪新变化”、“民俗闹元宵”等系列活动。</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27"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75</w:t>
            </w:r>
          </w:p>
        </w:tc>
        <w:tc>
          <w:tcPr>
            <w:tcW w:w="4189" w:type="dxa"/>
            <w:noWrap w:val="0"/>
            <w:vAlign w:val="center"/>
          </w:tcPr>
          <w:p>
            <w:pPr>
              <w:spacing w:line="360" w:lineRule="exact"/>
              <w:rPr>
                <w:rFonts w:hint="eastAsia" w:ascii="仿宋_GB2312" w:hAnsi="Times New Roman" w:eastAsia="仿宋_GB2312" w:cs="Times New Roman"/>
                <w:color w:val="000000"/>
                <w:spacing w:val="4"/>
                <w:sz w:val="22"/>
                <w:szCs w:val="22"/>
              </w:rPr>
            </w:pPr>
            <w:r>
              <w:rPr>
                <w:rFonts w:hint="eastAsia" w:ascii="仿宋_GB2312" w:hAnsi="Times New Roman" w:eastAsia="仿宋_GB2312" w:cs="Times New Roman"/>
                <w:color w:val="000000"/>
                <w:spacing w:val="4"/>
                <w:sz w:val="22"/>
                <w:szCs w:val="22"/>
              </w:rPr>
              <w:t>持续开展“夏季攻势”，坚决完成上级交办反馈问题整改销号。</w:t>
            </w:r>
          </w:p>
        </w:tc>
        <w:tc>
          <w:tcPr>
            <w:tcW w:w="1630" w:type="dxa"/>
            <w:noWrap w:val="0"/>
            <w:vAlign w:val="center"/>
          </w:tcPr>
          <w:p>
            <w:pPr>
              <w:spacing w:line="360" w:lineRule="exact"/>
              <w:jc w:val="center"/>
              <w:rPr>
                <w:rFonts w:hint="eastAsia" w:ascii="仿宋_GB2312" w:hAnsi="Times New Roman" w:eastAsia="仿宋_GB2312" w:cs="Times New Roman"/>
                <w:color w:val="000000"/>
                <w:spacing w:val="4"/>
                <w:sz w:val="22"/>
                <w:szCs w:val="22"/>
              </w:rPr>
            </w:pPr>
            <w:r>
              <w:rPr>
                <w:rFonts w:hint="eastAsia" w:ascii="仿宋_GB2312" w:hAnsi="Times New Roman" w:eastAsia="仿宋_GB2312" w:cs="Times New Roman"/>
                <w:color w:val="000000"/>
                <w:spacing w:val="4"/>
                <w:sz w:val="22"/>
                <w:szCs w:val="22"/>
              </w:rPr>
              <w:t>生态环境分局</w:t>
            </w:r>
          </w:p>
        </w:tc>
        <w:tc>
          <w:tcPr>
            <w:tcW w:w="6471" w:type="dxa"/>
            <w:noWrap w:val="0"/>
            <w:vAlign w:val="center"/>
          </w:tcPr>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中央环保督察信访件办理情况：</w:t>
            </w:r>
            <w:r>
              <w:rPr>
                <w:rFonts w:hint="eastAsia" w:ascii="仿宋_GB2312" w:hAnsi="Times New Roman" w:eastAsia="仿宋_GB2312" w:cs="Times New Roman"/>
                <w:color w:val="000000"/>
                <w:sz w:val="22"/>
                <w:szCs w:val="22"/>
              </w:rPr>
              <w:t>共交办信访件11件，已办结9件，阶段性办结2件。</w:t>
            </w:r>
          </w:p>
          <w:p>
            <w:pPr>
              <w:spacing w:line="30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省级环保督察信访件及问题线索办理情况：</w:t>
            </w:r>
            <w:r>
              <w:rPr>
                <w:rFonts w:hint="eastAsia" w:ascii="仿宋_GB2312" w:hAnsi="Times New Roman" w:eastAsia="仿宋_GB2312" w:cs="Times New Roman"/>
                <w:color w:val="000000"/>
                <w:sz w:val="22"/>
                <w:szCs w:val="22"/>
              </w:rPr>
              <w:t>共交办信访件5件，已办结4件、阶段性办结1件；共交办问题线索17个，涉及整改问题41个，截至目前，除4个限期整改问题未完成外，其余均已完成整改。</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76</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抓好工地扬尘、餐饮油污和油烟等专项整治，力争空气质量优良率保持在85%以上。</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生态环境分局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截至6月份，我区空气质量优良率为89.1%。</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77</w:t>
            </w:r>
          </w:p>
        </w:tc>
        <w:tc>
          <w:tcPr>
            <w:tcW w:w="4189" w:type="dxa"/>
            <w:noWrap w:val="0"/>
            <w:vAlign w:val="center"/>
          </w:tcPr>
          <w:p>
            <w:pPr>
              <w:widowControl w:val="0"/>
              <w:spacing w:line="360" w:lineRule="exact"/>
              <w:ind w:firstLine="0" w:firstLineChars="0"/>
              <w:jc w:val="both"/>
              <w:rPr>
                <w:rFonts w:hint="eastAsia" w:ascii="仿宋_GB2312" w:hAnsi="Calibri" w:eastAsia="仿宋_GB2312" w:cs="Times New Roman"/>
                <w:color w:val="000000"/>
                <w:kern w:val="2"/>
                <w:sz w:val="22"/>
                <w:szCs w:val="22"/>
                <w:lang w:val="en-US" w:eastAsia="zh-CN" w:bidi="ar-SA"/>
              </w:rPr>
            </w:pPr>
            <w:r>
              <w:rPr>
                <w:rFonts w:hint="eastAsia" w:ascii="仿宋_GB2312" w:hAnsi="Calibri" w:eastAsia="仿宋_GB2312" w:cs="Times New Roman"/>
                <w:color w:val="000000"/>
                <w:kern w:val="2"/>
                <w:sz w:val="22"/>
                <w:szCs w:val="22"/>
                <w:lang w:val="en-US" w:eastAsia="zh-CN" w:bidi="ar-SA"/>
              </w:rPr>
              <w:t>确保国控、省控考核断面水质全部达标。</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生态环境分局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截至6月份，我区长江城陵矶断面、陆城断面和芭蕉湖断面等国控、省控考核断面水质达标率100%。</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78</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全力配合铁水集运煤炭储备基地（二期）项目申报工作，促进建成投产。</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项目指挥部</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码头工程</w:t>
            </w:r>
            <w:r>
              <w:rPr>
                <w:rFonts w:hint="eastAsia" w:ascii="仿宋_GB2312" w:hAnsi="Times New Roman" w:eastAsia="仿宋_GB2312" w:cs="Times New Roman"/>
                <w:color w:val="000000"/>
                <w:sz w:val="22"/>
                <w:szCs w:val="22"/>
              </w:rPr>
              <w:t>：规划新建煤炭泊位9个，一期工程包括1个5000吨级进口泊位、2个3000吨级出口泊位，现已全部建成。</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储煤基地工程</w:t>
            </w:r>
            <w:r>
              <w:rPr>
                <w:rFonts w:hint="eastAsia" w:ascii="仿宋_GB2312" w:hAnsi="Times New Roman" w:eastAsia="仿宋_GB2312" w:cs="Times New Roman"/>
                <w:color w:val="000000"/>
                <w:sz w:val="22"/>
                <w:szCs w:val="22"/>
              </w:rPr>
              <w:t>：规划建设10个堆场，总容量达200万吨，设计年周转量2200万吨,并配套建设两台翻车机和一台铁路装车机，一期工程建设西侧4个堆场，堆场容量80万吨，并配套建设1台翻车机、2座储煤仓，今年年底可全部完工。</w:t>
            </w:r>
          </w:p>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b/>
                <w:bCs/>
                <w:color w:val="000000"/>
                <w:sz w:val="22"/>
                <w:szCs w:val="22"/>
              </w:rPr>
              <w:t>铁路专用线工程</w:t>
            </w:r>
            <w:r>
              <w:rPr>
                <w:rFonts w:hint="eastAsia" w:ascii="仿宋_GB2312" w:hAnsi="Times New Roman" w:eastAsia="仿宋_GB2312" w:cs="Times New Roman"/>
                <w:color w:val="000000"/>
                <w:sz w:val="22"/>
                <w:szCs w:val="22"/>
              </w:rPr>
              <w:t>：项目用地正式取得自然资源部核准批复，已启动征拆。</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79</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建设石化产业知识产权服务中心，提升科技成果转化成效。</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区市场监管局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收集全区有效发明专利353件，装订成册，印发至企业；揭牌成立岳阳市化工新材料知识产权转移转化运营中心，专业服务直达基层，为全区创新主体提供全方位知识产权公共服务。</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8" w:type="dxa"/>
            <w:noWrap w:val="0"/>
            <w:vAlign w:val="center"/>
          </w:tcPr>
          <w:p>
            <w:pPr>
              <w:widowControl/>
              <w:spacing w:line="360" w:lineRule="exact"/>
              <w:jc w:val="center"/>
              <w:rPr>
                <w:rFonts w:hint="eastAsia" w:ascii="仿宋_GB2312" w:hAnsi="Times New Roman" w:eastAsia="仿宋_GB2312" w:cs="宋体"/>
                <w:color w:val="000000"/>
                <w:kern w:val="0"/>
                <w:sz w:val="22"/>
                <w:szCs w:val="22"/>
              </w:rPr>
            </w:pPr>
            <w:r>
              <w:rPr>
                <w:rFonts w:hint="eastAsia" w:ascii="仿宋_GB2312" w:hAnsi="Times New Roman" w:eastAsia="仿宋_GB2312" w:cs="宋体"/>
                <w:color w:val="000000"/>
                <w:kern w:val="0"/>
                <w:sz w:val="22"/>
                <w:szCs w:val="22"/>
              </w:rPr>
              <w:t>80</w:t>
            </w:r>
          </w:p>
        </w:tc>
        <w:tc>
          <w:tcPr>
            <w:tcW w:w="4189"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建设2处社区日间照料中心，完成低保扩围10%。</w:t>
            </w:r>
          </w:p>
        </w:tc>
        <w:tc>
          <w:tcPr>
            <w:tcW w:w="163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区民政局</w:t>
            </w:r>
          </w:p>
        </w:tc>
        <w:tc>
          <w:tcPr>
            <w:tcW w:w="6471" w:type="dxa"/>
            <w:noWrap w:val="0"/>
            <w:vAlign w:val="center"/>
          </w:tcPr>
          <w:p>
            <w:pPr>
              <w:spacing w:line="360" w:lineRule="exact"/>
              <w:rPr>
                <w:rFonts w:hint="eastAsia" w:ascii="仿宋_GB2312" w:hAnsi="Times New Roman" w:eastAsia="仿宋_GB2312" w:cs="Times New Roman"/>
                <w:color w:val="000000"/>
                <w:sz w:val="22"/>
                <w:szCs w:val="22"/>
              </w:rPr>
            </w:pPr>
            <w:r>
              <w:rPr>
                <w:rFonts w:hint="eastAsia" w:ascii="仿宋_GB2312" w:hAnsi="Times New Roman" w:eastAsia="仿宋_GB2312" w:cs="Times New Roman"/>
                <w:color w:val="000000"/>
                <w:sz w:val="22"/>
                <w:szCs w:val="22"/>
              </w:rPr>
              <w:t>已完成1处日间照料中心建设，另一处正在建设中（完成率55%）；完成低保扩围7.2%。</w:t>
            </w:r>
          </w:p>
        </w:tc>
        <w:tc>
          <w:tcPr>
            <w:tcW w:w="541" w:type="dxa"/>
            <w:noWrap w:val="0"/>
            <w:vAlign w:val="center"/>
          </w:tcPr>
          <w:p>
            <w:pPr>
              <w:spacing w:line="360" w:lineRule="exact"/>
              <w:jc w:val="center"/>
              <w:rPr>
                <w:rFonts w:hint="eastAsia" w:ascii="仿宋_GB2312" w:hAnsi="Times New Roman" w:eastAsia="仿宋_GB2312" w:cs="Times New Roman"/>
                <w:color w:val="000000"/>
                <w:sz w:val="22"/>
                <w:szCs w:val="22"/>
              </w:rPr>
            </w:pPr>
          </w:p>
        </w:tc>
        <w:tc>
          <w:tcPr>
            <w:tcW w:w="720" w:type="dxa"/>
            <w:noWrap w:val="0"/>
            <w:vAlign w:val="center"/>
          </w:tcPr>
          <w:p>
            <w:pPr>
              <w:spacing w:line="360" w:lineRule="exact"/>
              <w:jc w:val="center"/>
              <w:rPr>
                <w:rFonts w:hint="eastAsia" w:ascii="仿宋_GB2312" w:hAnsi="Times New Roman" w:eastAsia="仿宋_GB2312" w:cs="Times New Roman"/>
                <w:color w:val="000000"/>
                <w:sz w:val="22"/>
                <w:szCs w:val="22"/>
              </w:rPr>
            </w:pPr>
            <w:r>
              <w:rPr>
                <w:rFonts w:hint="eastAsia" w:ascii="仿宋" w:hAnsi="Times New Roman" w:eastAsia="仿宋" w:cs="仿宋"/>
                <w:color w:val="000000"/>
                <w:sz w:val="22"/>
                <w:szCs w:val="22"/>
              </w:rPr>
              <w:t>√</w:t>
            </w:r>
          </w:p>
        </w:tc>
        <w:tc>
          <w:tcPr>
            <w:tcW w:w="533" w:type="dxa"/>
            <w:noWrap w:val="0"/>
            <w:vAlign w:val="center"/>
          </w:tcPr>
          <w:p>
            <w:pPr>
              <w:spacing w:line="360" w:lineRule="exact"/>
              <w:jc w:val="center"/>
              <w:rPr>
                <w:rFonts w:hint="eastAsia" w:ascii="仿宋_GB2312" w:hAnsi="Times New Roman" w:eastAsia="仿宋_GB2312" w:cs="Times New Roman"/>
                <w:color w:val="000000"/>
                <w:sz w:val="22"/>
                <w:szCs w:val="22"/>
              </w:rPr>
            </w:pPr>
          </w:p>
        </w:tc>
      </w:tr>
    </w:tbl>
    <w:p>
      <w:pPr>
        <w:rPr>
          <w:rFonts w:hint="eastAsia" w:ascii="Times New Roman" w:hAnsi="Times New Roman" w:eastAsia="宋体" w:cs="Times New Roman"/>
          <w:color w:val="000000"/>
        </w:rPr>
      </w:pPr>
    </w:p>
    <w:p>
      <w:pPr>
        <w:rPr>
          <w:rFonts w:hint="eastAsia" w:ascii="仿宋_GB2312" w:hAnsi="Times New Roman" w:eastAsia="仿宋_GB2312" w:cs="方正仿宋_GB2312"/>
          <w:color w:val="000000"/>
          <w:sz w:val="24"/>
        </w:rPr>
      </w:pPr>
      <w:r>
        <w:rPr>
          <w:rFonts w:hint="eastAsia" w:ascii="仿宋_GB2312" w:hAnsi="Times New Roman" w:eastAsia="仿宋_GB2312" w:cs="方正仿宋_GB2312"/>
          <w:b/>
          <w:color w:val="000000"/>
          <w:sz w:val="24"/>
        </w:rPr>
        <w:t>注：</w:t>
      </w:r>
      <w:r>
        <w:rPr>
          <w:rFonts w:hint="eastAsia" w:ascii="仿宋_GB2312" w:hAnsi="Times New Roman" w:eastAsia="仿宋_GB2312" w:cs="方正仿宋_GB2312"/>
          <w:color w:val="000000"/>
          <w:sz w:val="24"/>
        </w:rPr>
        <w:t>第48、49、57、58、67、80项为区级民生实事。</w:t>
      </w:r>
    </w:p>
    <w:p>
      <w:pPr>
        <w:spacing w:line="600" w:lineRule="exact"/>
        <w:rPr>
          <w:rFonts w:hint="eastAsia" w:ascii="黑体" w:hAnsi="Times New Roman" w:eastAsia="黑体" w:cs="方正小标宋简体"/>
          <w:color w:val="000000"/>
          <w:sz w:val="32"/>
          <w:szCs w:val="32"/>
        </w:rPr>
      </w:pPr>
      <w:r>
        <w:rPr>
          <w:rFonts w:hint="eastAsia" w:ascii="仿宋_GB2312" w:hAnsi="Times New Roman" w:eastAsia="仿宋_GB2312" w:cs="Times New Roman"/>
          <w:color w:val="000000"/>
          <w:sz w:val="32"/>
          <w:szCs w:val="32"/>
        </w:rPr>
        <w:br w:type="page"/>
      </w:r>
      <w:r>
        <w:rPr>
          <w:rFonts w:hint="eastAsia" w:ascii="黑体" w:hAnsi="Times New Roman" w:eastAsia="黑体" w:cs="Times New Roman"/>
          <w:color w:val="000000"/>
          <w:sz w:val="32"/>
          <w:szCs w:val="32"/>
        </w:rPr>
        <w:t>附件2</w:t>
      </w:r>
    </w:p>
    <w:p>
      <w:pPr>
        <w:snapToGrid w:val="0"/>
        <w:spacing w:before="156" w:beforeLines="50" w:after="156" w:afterLines="50"/>
        <w:jc w:val="center"/>
        <w:rPr>
          <w:rFonts w:hint="eastAsia" w:ascii="方正小标宋简体" w:hAnsi="Times New Roman" w:eastAsia="方正小标宋简体" w:cs="方正小标宋简体"/>
          <w:color w:val="000000"/>
          <w:sz w:val="44"/>
          <w:szCs w:val="44"/>
        </w:rPr>
      </w:pPr>
      <w:r>
        <w:rPr>
          <w:rFonts w:hint="eastAsia" w:ascii="方正小标宋简体" w:hAnsi="Times New Roman" w:eastAsia="方正小标宋简体" w:cs="方正小标宋简体"/>
          <w:color w:val="000000"/>
          <w:sz w:val="44"/>
          <w:szCs w:val="44"/>
        </w:rPr>
        <w:t>2024年省市重点民生实事项目任务分解进展情况</w:t>
      </w:r>
    </w:p>
    <w:tbl>
      <w:tblPr>
        <w:tblStyle w:val="12"/>
        <w:tblW w:w="14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2"/>
        <w:gridCol w:w="672"/>
        <w:gridCol w:w="1115"/>
        <w:gridCol w:w="210"/>
        <w:gridCol w:w="1796"/>
        <w:gridCol w:w="2450"/>
        <w:gridCol w:w="1290"/>
        <w:gridCol w:w="1715"/>
        <w:gridCol w:w="2398"/>
        <w:gridCol w:w="1066"/>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1" w:hRule="atLeast"/>
          <w:tblHeader/>
          <w:jc w:val="center"/>
        </w:trPr>
        <w:tc>
          <w:tcPr>
            <w:tcW w:w="792"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类别</w:t>
            </w:r>
          </w:p>
        </w:tc>
        <w:tc>
          <w:tcPr>
            <w:tcW w:w="672"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序号</w:t>
            </w:r>
          </w:p>
        </w:tc>
        <w:tc>
          <w:tcPr>
            <w:tcW w:w="5571" w:type="dxa"/>
            <w:gridSpan w:val="4"/>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项目名称</w:t>
            </w:r>
          </w:p>
        </w:tc>
        <w:tc>
          <w:tcPr>
            <w:tcW w:w="1290"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目标任务</w:t>
            </w:r>
          </w:p>
        </w:tc>
        <w:tc>
          <w:tcPr>
            <w:tcW w:w="1715"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牵头单位</w:t>
            </w:r>
          </w:p>
        </w:tc>
        <w:tc>
          <w:tcPr>
            <w:tcW w:w="2398"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进展情况</w:t>
            </w:r>
          </w:p>
        </w:tc>
        <w:tc>
          <w:tcPr>
            <w:tcW w:w="1066"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量化数据</w:t>
            </w:r>
          </w:p>
        </w:tc>
        <w:tc>
          <w:tcPr>
            <w:tcW w:w="1157" w:type="dxa"/>
            <w:noWrap w:val="0"/>
            <w:vAlign w:val="center"/>
          </w:tcPr>
          <w:p>
            <w:pPr>
              <w:snapToGrid w:val="0"/>
              <w:jc w:val="center"/>
              <w:rPr>
                <w:rFonts w:hint="eastAsia" w:ascii="黑体" w:hAnsi="Times New Roman" w:eastAsia="黑体" w:cs="黑体"/>
                <w:color w:val="000000"/>
                <w:sz w:val="22"/>
                <w:szCs w:val="22"/>
              </w:rPr>
            </w:pPr>
            <w:r>
              <w:rPr>
                <w:rFonts w:hint="eastAsia" w:ascii="黑体" w:hAnsi="Times New Roman" w:eastAsia="黑体" w:cs="黑体"/>
                <w:color w:val="000000"/>
                <w:sz w:val="22"/>
                <w:szCs w:val="22"/>
              </w:rPr>
              <w:t>进度评价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0" w:hRule="atLeast"/>
          <w:jc w:val="center"/>
        </w:trPr>
        <w:tc>
          <w:tcPr>
            <w:tcW w:w="792" w:type="dxa"/>
            <w:vMerge w:val="restart"/>
            <w:noWrap w:val="0"/>
            <w:vAlign w:val="center"/>
          </w:tcPr>
          <w:p>
            <w:pPr>
              <w:snapToGrid w:val="0"/>
              <w:jc w:val="center"/>
              <w:rPr>
                <w:rFonts w:hint="eastAsia" w:ascii="仿宋_GB2312" w:hAnsi="Times New Roman" w:eastAsia="仿宋_GB2312" w:cs="宋体"/>
                <w:bCs/>
                <w:color w:val="000000"/>
                <w:sz w:val="22"/>
                <w:szCs w:val="22"/>
              </w:rPr>
            </w:pPr>
            <w:r>
              <w:rPr>
                <w:rFonts w:hint="eastAsia" w:ascii="仿宋_GB2312" w:hAnsi="Times New Roman" w:eastAsia="仿宋_GB2312" w:cs="??"/>
                <w:bCs/>
                <w:color w:val="000000"/>
                <w:sz w:val="22"/>
                <w:szCs w:val="22"/>
              </w:rPr>
              <w:t>省</w:t>
            </w:r>
            <w:r>
              <w:rPr>
                <w:rFonts w:hint="eastAsia" w:ascii="仿宋_GB2312" w:hAnsi="Times New Roman" w:eastAsia="仿宋_GB2312" w:cs="宋体"/>
                <w:bCs/>
                <w:color w:val="000000"/>
                <w:sz w:val="22"/>
                <w:szCs w:val="22"/>
              </w:rPr>
              <w:t>级</w:t>
            </w:r>
          </w:p>
          <w:p>
            <w:pPr>
              <w:snapToGrid w:val="0"/>
              <w:jc w:val="center"/>
              <w:rPr>
                <w:rFonts w:hint="eastAsia" w:ascii="仿宋_GB2312" w:hAnsi="Times New Roman" w:eastAsia="仿宋_GB2312" w:cs="??"/>
                <w:bCs/>
                <w:color w:val="000000"/>
                <w:sz w:val="22"/>
                <w:szCs w:val="22"/>
              </w:rPr>
            </w:pPr>
            <w:r>
              <w:rPr>
                <w:rFonts w:hint="eastAsia" w:ascii="仿宋_GB2312" w:hAnsi="Times New Roman" w:eastAsia="仿宋_GB2312" w:cs="??"/>
                <w:bCs/>
                <w:color w:val="000000"/>
                <w:sz w:val="22"/>
                <w:szCs w:val="22"/>
              </w:rPr>
              <w:t>重点</w:t>
            </w:r>
          </w:p>
          <w:p>
            <w:pPr>
              <w:snapToGrid w:val="0"/>
              <w:jc w:val="center"/>
              <w:rPr>
                <w:rFonts w:hint="eastAsia" w:ascii="仿宋_GB2312" w:hAnsi="Times New Roman" w:eastAsia="仿宋_GB2312" w:cs="??"/>
                <w:bCs/>
                <w:color w:val="000000"/>
                <w:sz w:val="22"/>
                <w:szCs w:val="22"/>
              </w:rPr>
            </w:pPr>
            <w:r>
              <w:rPr>
                <w:rFonts w:hint="eastAsia" w:ascii="仿宋_GB2312" w:hAnsi="Times New Roman" w:eastAsia="仿宋_GB2312" w:cs="??"/>
                <w:bCs/>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宋体"/>
                <w:bCs/>
                <w:color w:val="000000"/>
                <w:sz w:val="22"/>
                <w:szCs w:val="22"/>
              </w:rPr>
              <w:t>实</w:t>
            </w:r>
            <w:r>
              <w:rPr>
                <w:rFonts w:hint="eastAsia" w:ascii="仿宋_GB2312" w:hAnsi="Times New Roman" w:eastAsia="仿宋_GB2312" w:cs="??"/>
                <w:bCs/>
                <w:color w:val="000000"/>
                <w:sz w:val="22"/>
                <w:szCs w:val="22"/>
              </w:rPr>
              <w:t>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推进教育</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高质量发展</w:t>
            </w: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家庭教育指导服务“向阳花”行动</w:t>
            </w:r>
          </w:p>
        </w:tc>
        <w:tc>
          <w:tcPr>
            <w:tcW w:w="2450" w:type="dxa"/>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线上线下场次</w:t>
            </w:r>
          </w:p>
        </w:tc>
        <w:tc>
          <w:tcPr>
            <w:tcW w:w="1290"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20场</w:t>
            </w:r>
          </w:p>
        </w:tc>
        <w:tc>
          <w:tcPr>
            <w:tcW w:w="1715" w:type="dxa"/>
            <w:vMerge w:val="restart"/>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区妇联</w:t>
            </w:r>
          </w:p>
        </w:tc>
        <w:tc>
          <w:tcPr>
            <w:tcW w:w="2398" w:type="dxa"/>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已完成17场。</w:t>
            </w:r>
          </w:p>
        </w:tc>
        <w:tc>
          <w:tcPr>
            <w:tcW w:w="1066"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85%</w:t>
            </w:r>
          </w:p>
        </w:tc>
        <w:tc>
          <w:tcPr>
            <w:tcW w:w="1157"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线上线下服务人数</w:t>
            </w:r>
          </w:p>
        </w:tc>
        <w:tc>
          <w:tcPr>
            <w:tcW w:w="1290"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10000名</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已完成9785名。</w:t>
            </w:r>
          </w:p>
        </w:tc>
        <w:tc>
          <w:tcPr>
            <w:tcW w:w="1066"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98%</w:t>
            </w:r>
          </w:p>
        </w:tc>
        <w:tc>
          <w:tcPr>
            <w:tcW w:w="1157"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个案指导</w:t>
            </w:r>
          </w:p>
        </w:tc>
        <w:tc>
          <w:tcPr>
            <w:tcW w:w="1290"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150人次</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已完成97人次。</w:t>
            </w:r>
          </w:p>
        </w:tc>
        <w:tc>
          <w:tcPr>
            <w:tcW w:w="1066"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65%</w:t>
            </w:r>
          </w:p>
        </w:tc>
        <w:tc>
          <w:tcPr>
            <w:tcW w:w="1157"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restart"/>
            <w:noWrap w:val="0"/>
            <w:vAlign w:val="center"/>
          </w:tcPr>
          <w:p>
            <w:pPr>
              <w:snapToGrid w:val="0"/>
              <w:jc w:val="center"/>
              <w:rPr>
                <w:rFonts w:hint="eastAsia" w:ascii="仿宋_GB2312" w:hAnsi="Times New Roman" w:eastAsia="仿宋_GB2312" w:cs="黑体"/>
                <w:bCs/>
                <w:color w:val="000000"/>
                <w:sz w:val="22"/>
                <w:szCs w:val="22"/>
              </w:rPr>
            </w:pPr>
            <w:r>
              <w:rPr>
                <w:rFonts w:hint="eastAsia" w:ascii="仿宋_GB2312" w:hAnsi="Times New Roman" w:eastAsia="仿宋_GB2312" w:cs="黑体"/>
                <w:bCs/>
                <w:color w:val="000000"/>
                <w:sz w:val="22"/>
                <w:szCs w:val="22"/>
              </w:rPr>
              <w:t>2</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提高优生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优育水平</w:t>
            </w:r>
          </w:p>
        </w:tc>
        <w:tc>
          <w:tcPr>
            <w:tcW w:w="4246" w:type="dxa"/>
            <w:gridSpan w:val="2"/>
            <w:noWrap w:val="0"/>
            <w:vAlign w:val="center"/>
          </w:tcPr>
          <w:p>
            <w:pPr>
              <w:snapToGrid w:val="0"/>
              <w:rPr>
                <w:rFonts w:hint="eastAsia" w:ascii="仿宋_GB2312" w:hAnsi="Times New Roman" w:eastAsia="仿宋_GB2312" w:cs="??"/>
                <w:color w:val="000000"/>
                <w:sz w:val="22"/>
                <w:szCs w:val="22"/>
              </w:rPr>
            </w:pPr>
            <w:r>
              <w:rPr>
                <w:rFonts w:hint="eastAsia" w:ascii="仿宋_GB2312" w:hAnsi="Times New Roman" w:eastAsia="仿宋_GB2312" w:cs="黑体"/>
                <w:color w:val="000000"/>
                <w:sz w:val="22"/>
                <w:szCs w:val="22"/>
              </w:rPr>
              <w:t>新生儿疾病免费筛查与诊断服务</w:t>
            </w:r>
          </w:p>
        </w:tc>
        <w:tc>
          <w:tcPr>
            <w:tcW w:w="1290"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500人</w:t>
            </w:r>
          </w:p>
        </w:tc>
        <w:tc>
          <w:tcPr>
            <w:tcW w:w="1715" w:type="dxa"/>
            <w:vMerge w:val="restart"/>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区卫健局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已完成332人。</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66%</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4246" w:type="dxa"/>
            <w:gridSpan w:val="2"/>
            <w:noWrap w:val="0"/>
            <w:vAlign w:val="center"/>
          </w:tcPr>
          <w:p>
            <w:pPr>
              <w:snapToGrid w:val="0"/>
              <w:rPr>
                <w:rFonts w:hint="eastAsia" w:ascii="仿宋_GB2312" w:hAnsi="Times New Roman" w:eastAsia="仿宋_GB2312" w:cs="??"/>
                <w:color w:val="000000"/>
                <w:spacing w:val="4"/>
                <w:sz w:val="22"/>
                <w:szCs w:val="22"/>
              </w:rPr>
            </w:pPr>
            <w:r>
              <w:rPr>
                <w:rFonts w:hint="eastAsia" w:ascii="仿宋_GB2312" w:hAnsi="Times New Roman" w:eastAsia="仿宋_GB2312" w:cs="??"/>
                <w:color w:val="000000"/>
                <w:spacing w:val="4"/>
                <w:sz w:val="22"/>
                <w:szCs w:val="22"/>
              </w:rPr>
              <w:t>普惠托育服务“护蕾”行动，新增普惠性托位</w:t>
            </w:r>
          </w:p>
        </w:tc>
        <w:tc>
          <w:tcPr>
            <w:tcW w:w="1290" w:type="dxa"/>
            <w:noWrap w:val="0"/>
            <w:vAlign w:val="center"/>
          </w:tcPr>
          <w:p>
            <w:pPr>
              <w:snapToGrid w:val="0"/>
              <w:jc w:val="center"/>
              <w:rPr>
                <w:rFonts w:hint="eastAsia" w:ascii="仿宋_GB2312" w:hAnsi="Times New Roman" w:eastAsia="仿宋_GB2312" w:cs="??"/>
                <w:color w:val="000000"/>
                <w:sz w:val="22"/>
                <w:szCs w:val="22"/>
              </w:rPr>
            </w:pPr>
            <w:r>
              <w:rPr>
                <w:rFonts w:hint="eastAsia" w:ascii="仿宋_GB2312" w:hAnsi="Times New Roman" w:eastAsia="仿宋_GB2312" w:cs="??"/>
                <w:color w:val="000000"/>
                <w:sz w:val="22"/>
                <w:szCs w:val="22"/>
              </w:rPr>
              <w:t>70个</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已完成70个。</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0" w:hRule="atLeast"/>
          <w:jc w:val="center"/>
        </w:trPr>
        <w:tc>
          <w:tcPr>
            <w:tcW w:w="792" w:type="dxa"/>
            <w:vMerge w:val="restart"/>
            <w:noWrap w:val="0"/>
            <w:vAlign w:val="center"/>
          </w:tcPr>
          <w:p>
            <w:pPr>
              <w:snapToGrid w:val="0"/>
              <w:jc w:val="center"/>
              <w:rPr>
                <w:rFonts w:hint="eastAsia" w:ascii="仿宋_GB2312" w:hAnsi="Times New Roman" w:eastAsia="仿宋_GB2312" w:cs="宋体"/>
                <w:bCs/>
                <w:color w:val="000000"/>
                <w:sz w:val="22"/>
                <w:szCs w:val="22"/>
              </w:rPr>
            </w:pPr>
            <w:r>
              <w:rPr>
                <w:rFonts w:hint="eastAsia" w:ascii="仿宋_GB2312" w:hAnsi="Times New Roman" w:eastAsia="仿宋_GB2312" w:cs="??"/>
                <w:bCs/>
                <w:color w:val="000000"/>
                <w:sz w:val="22"/>
                <w:szCs w:val="22"/>
              </w:rPr>
              <w:t>省</w:t>
            </w:r>
            <w:r>
              <w:rPr>
                <w:rFonts w:hint="eastAsia" w:ascii="仿宋_GB2312" w:hAnsi="Times New Roman" w:eastAsia="仿宋_GB2312" w:cs="宋体"/>
                <w:bCs/>
                <w:color w:val="000000"/>
                <w:sz w:val="22"/>
                <w:szCs w:val="22"/>
              </w:rPr>
              <w:t>级</w:t>
            </w:r>
          </w:p>
          <w:p>
            <w:pPr>
              <w:snapToGrid w:val="0"/>
              <w:jc w:val="center"/>
              <w:rPr>
                <w:rFonts w:hint="eastAsia" w:ascii="仿宋_GB2312" w:hAnsi="Times New Roman" w:eastAsia="仿宋_GB2312" w:cs="??"/>
                <w:bCs/>
                <w:color w:val="000000"/>
                <w:sz w:val="22"/>
                <w:szCs w:val="22"/>
              </w:rPr>
            </w:pPr>
            <w:r>
              <w:rPr>
                <w:rFonts w:hint="eastAsia" w:ascii="仿宋_GB2312" w:hAnsi="Times New Roman" w:eastAsia="仿宋_GB2312" w:cs="??"/>
                <w:bCs/>
                <w:color w:val="000000"/>
                <w:sz w:val="22"/>
                <w:szCs w:val="22"/>
              </w:rPr>
              <w:t>重点</w:t>
            </w:r>
          </w:p>
          <w:p>
            <w:pPr>
              <w:snapToGrid w:val="0"/>
              <w:jc w:val="center"/>
              <w:rPr>
                <w:rFonts w:hint="eastAsia" w:ascii="仿宋_GB2312" w:hAnsi="Times New Roman" w:eastAsia="仿宋_GB2312" w:cs="??"/>
                <w:bCs/>
                <w:color w:val="000000"/>
                <w:sz w:val="22"/>
                <w:szCs w:val="22"/>
              </w:rPr>
            </w:pPr>
            <w:r>
              <w:rPr>
                <w:rFonts w:hint="eastAsia" w:ascii="仿宋_GB2312" w:hAnsi="Times New Roman" w:eastAsia="仿宋_GB2312" w:cs="??"/>
                <w:bCs/>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宋体"/>
                <w:bCs/>
                <w:color w:val="000000"/>
                <w:sz w:val="22"/>
                <w:szCs w:val="22"/>
              </w:rPr>
              <w:t>实</w:t>
            </w:r>
            <w:r>
              <w:rPr>
                <w:rFonts w:hint="eastAsia" w:ascii="仿宋_GB2312" w:hAnsi="Times New Roman" w:eastAsia="仿宋_GB2312" w:cs="??"/>
                <w:bCs/>
                <w:color w:val="000000"/>
                <w:sz w:val="22"/>
                <w:szCs w:val="22"/>
              </w:rPr>
              <w:t>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3</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pacing w:val="-6"/>
                <w:sz w:val="22"/>
                <w:szCs w:val="22"/>
              </w:rPr>
              <w:t>提高困难群体</w:t>
            </w:r>
            <w:r>
              <w:rPr>
                <w:rFonts w:hint="eastAsia" w:ascii="仿宋_GB2312" w:hAnsi="Times New Roman" w:eastAsia="仿宋_GB2312" w:cs="黑体"/>
                <w:color w:val="000000"/>
                <w:sz w:val="22"/>
                <w:szCs w:val="22"/>
              </w:rPr>
              <w:t>救助标准</w:t>
            </w:r>
          </w:p>
        </w:tc>
        <w:tc>
          <w:tcPr>
            <w:tcW w:w="1796"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提高城乡</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低保标准</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城市低保标准不低于</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700元/月</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区民政局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农村低保标准不低于</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8400元/年</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提高残疾人“两项补贴”标准</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困难残疾人生活补贴标准提高到</w:t>
            </w:r>
          </w:p>
        </w:tc>
        <w:tc>
          <w:tcPr>
            <w:tcW w:w="1290" w:type="dxa"/>
            <w:noWrap w:val="0"/>
            <w:vAlign w:val="center"/>
          </w:tcPr>
          <w:p>
            <w:pPr>
              <w:snapToGrid w:val="0"/>
              <w:jc w:val="center"/>
              <w:rPr>
                <w:rFonts w:hint="eastAsia" w:ascii="仿宋_GB2312" w:hAnsi="Times New Roman" w:eastAsia="仿宋_GB2312" w:cs="黑体"/>
                <w:color w:val="000000"/>
                <w:spacing w:val="-10"/>
                <w:sz w:val="22"/>
                <w:szCs w:val="22"/>
              </w:rPr>
            </w:pPr>
            <w:r>
              <w:rPr>
                <w:rFonts w:hint="eastAsia" w:ascii="仿宋_GB2312" w:hAnsi="Times New Roman" w:eastAsia="仿宋_GB2312" w:cs="黑体"/>
                <w:color w:val="000000"/>
                <w:spacing w:val="-10"/>
                <w:sz w:val="22"/>
                <w:szCs w:val="22"/>
              </w:rPr>
              <w:t>90元/月·人</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重度残疾人护理补贴标准提高到</w:t>
            </w:r>
          </w:p>
        </w:tc>
        <w:tc>
          <w:tcPr>
            <w:tcW w:w="1290" w:type="dxa"/>
            <w:noWrap w:val="0"/>
            <w:vAlign w:val="center"/>
          </w:tcPr>
          <w:p>
            <w:pPr>
              <w:snapToGrid w:val="0"/>
              <w:jc w:val="center"/>
              <w:rPr>
                <w:rFonts w:hint="eastAsia" w:ascii="仿宋_GB2312" w:hAnsi="Times New Roman" w:eastAsia="仿宋_GB2312" w:cs="黑体"/>
                <w:color w:val="000000"/>
                <w:spacing w:val="-10"/>
                <w:sz w:val="22"/>
                <w:szCs w:val="22"/>
              </w:rPr>
            </w:pPr>
            <w:r>
              <w:rPr>
                <w:rFonts w:hint="eastAsia" w:ascii="仿宋_GB2312" w:hAnsi="Times New Roman" w:eastAsia="仿宋_GB2312" w:cs="黑体"/>
                <w:color w:val="000000"/>
                <w:spacing w:val="-10"/>
                <w:sz w:val="22"/>
                <w:szCs w:val="22"/>
              </w:rPr>
              <w:t>90元/月·人</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提高孤儿和事实无人抚养儿童基本生活最低保障标准</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散居孤儿标准提高到</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1150元/月</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pacing w:val="-10"/>
                <w:sz w:val="22"/>
                <w:szCs w:val="22"/>
              </w:rPr>
            </w:pPr>
            <w:r>
              <w:rPr>
                <w:rFonts w:hint="eastAsia" w:ascii="仿宋_GB2312" w:hAnsi="Times New Roman" w:eastAsia="仿宋_GB2312" w:cs="黑体"/>
                <w:color w:val="000000"/>
                <w:spacing w:val="-10"/>
                <w:sz w:val="22"/>
                <w:szCs w:val="22"/>
              </w:rPr>
              <w:t>集中养育孤儿标准提高到</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1600元/月</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无集中养育孤儿。</w:t>
            </w:r>
          </w:p>
        </w:tc>
        <w:tc>
          <w:tcPr>
            <w:tcW w:w="1066" w:type="dxa"/>
            <w:tcBorders>
              <w:tl2br w:val="single" w:color="auto" w:sz="4" w:space="0"/>
            </w:tcBorders>
            <w:noWrap w:val="0"/>
            <w:vAlign w:val="center"/>
          </w:tcPr>
          <w:p>
            <w:pPr>
              <w:snapToGrid w:val="0"/>
              <w:jc w:val="center"/>
              <w:rPr>
                <w:rFonts w:hint="eastAsia" w:ascii="仿宋_GB2312" w:hAnsi="Times New Roman" w:eastAsia="仿宋_GB2312" w:cs="黑体"/>
                <w:color w:val="000000"/>
                <w:sz w:val="22"/>
                <w:szCs w:val="22"/>
              </w:rPr>
            </w:pP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9" w:hRule="atLeast"/>
          <w:jc w:val="center"/>
        </w:trPr>
        <w:tc>
          <w:tcPr>
            <w:tcW w:w="792" w:type="dxa"/>
            <w:vMerge w:val="restart"/>
            <w:noWrap w:val="0"/>
            <w:vAlign w:val="center"/>
          </w:tcPr>
          <w:p>
            <w:pPr>
              <w:snapToGrid w:val="0"/>
              <w:jc w:val="center"/>
              <w:rPr>
                <w:rFonts w:hint="eastAsia" w:ascii="仿宋_GB2312" w:hAnsi="Times New Roman" w:eastAsia="仿宋_GB2312" w:cs="宋体"/>
                <w:bCs/>
                <w:color w:val="000000"/>
                <w:sz w:val="22"/>
                <w:szCs w:val="22"/>
              </w:rPr>
            </w:pPr>
            <w:r>
              <w:rPr>
                <w:rFonts w:hint="eastAsia" w:ascii="仿宋_GB2312" w:hAnsi="Times New Roman" w:eastAsia="仿宋_GB2312" w:cs="??"/>
                <w:bCs/>
                <w:color w:val="000000"/>
                <w:sz w:val="22"/>
                <w:szCs w:val="22"/>
              </w:rPr>
              <w:t>省</w:t>
            </w:r>
            <w:r>
              <w:rPr>
                <w:rFonts w:hint="eastAsia" w:ascii="仿宋_GB2312" w:hAnsi="Times New Roman" w:eastAsia="仿宋_GB2312" w:cs="宋体"/>
                <w:bCs/>
                <w:color w:val="000000"/>
                <w:sz w:val="22"/>
                <w:szCs w:val="22"/>
              </w:rPr>
              <w:t>级</w:t>
            </w:r>
          </w:p>
          <w:p>
            <w:pPr>
              <w:snapToGrid w:val="0"/>
              <w:jc w:val="center"/>
              <w:rPr>
                <w:rFonts w:hint="eastAsia" w:ascii="仿宋_GB2312" w:hAnsi="Times New Roman" w:eastAsia="仿宋_GB2312" w:cs="??"/>
                <w:bCs/>
                <w:color w:val="000000"/>
                <w:sz w:val="22"/>
                <w:szCs w:val="22"/>
              </w:rPr>
            </w:pPr>
            <w:r>
              <w:rPr>
                <w:rFonts w:hint="eastAsia" w:ascii="仿宋_GB2312" w:hAnsi="Times New Roman" w:eastAsia="仿宋_GB2312" w:cs="??"/>
                <w:bCs/>
                <w:color w:val="000000"/>
                <w:sz w:val="22"/>
                <w:szCs w:val="22"/>
              </w:rPr>
              <w:t>重点</w:t>
            </w:r>
          </w:p>
          <w:p>
            <w:pPr>
              <w:snapToGrid w:val="0"/>
              <w:jc w:val="center"/>
              <w:rPr>
                <w:rFonts w:hint="eastAsia" w:ascii="仿宋_GB2312" w:hAnsi="Times New Roman" w:eastAsia="仿宋_GB2312" w:cs="??"/>
                <w:bCs/>
                <w:color w:val="000000"/>
                <w:sz w:val="22"/>
                <w:szCs w:val="22"/>
              </w:rPr>
            </w:pPr>
            <w:r>
              <w:rPr>
                <w:rFonts w:hint="eastAsia" w:ascii="仿宋_GB2312" w:hAnsi="Times New Roman" w:eastAsia="仿宋_GB2312" w:cs="??"/>
                <w:bCs/>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宋体"/>
                <w:bCs/>
                <w:color w:val="000000"/>
                <w:sz w:val="22"/>
                <w:szCs w:val="22"/>
              </w:rPr>
              <w:t>实</w:t>
            </w:r>
            <w:r>
              <w:rPr>
                <w:rFonts w:hint="eastAsia" w:ascii="仿宋_GB2312" w:hAnsi="Times New Roman" w:eastAsia="仿宋_GB2312" w:cs="??"/>
                <w:bCs/>
                <w:color w:val="000000"/>
                <w:sz w:val="22"/>
                <w:szCs w:val="22"/>
              </w:rPr>
              <w:t>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pacing w:val="-6"/>
                <w:sz w:val="22"/>
                <w:szCs w:val="22"/>
              </w:rPr>
            </w:pPr>
            <w:r>
              <w:rPr>
                <w:rFonts w:hint="eastAsia" w:ascii="仿宋_GB2312" w:hAnsi="Times New Roman" w:eastAsia="仿宋_GB2312" w:cs="黑体"/>
                <w:color w:val="000000"/>
                <w:spacing w:val="-6"/>
                <w:sz w:val="22"/>
                <w:szCs w:val="22"/>
              </w:rPr>
              <w:t>关爱特殊群体</w:t>
            </w: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农村适龄及城镇低保适龄妇女“两癌”免费检查</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4000人</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区妇联</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已完成4018人。</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100.45%</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困难重度残疾人家庭无障碍改造</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160户</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区残联</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已完工127户。</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79%</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康复训练听力、智力、肢体残疾儿童和孤独症儿童</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71名</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pacing w:val="-6"/>
                <w:sz w:val="22"/>
                <w:szCs w:val="22"/>
              </w:rPr>
              <w:t>该项目康复救助对象79人，累计完成415个月，累计完成人数59人</w:t>
            </w:r>
            <w:r>
              <w:rPr>
                <w:rFonts w:hint="eastAsia" w:ascii="仿宋_GB2312" w:hAnsi="Times New Roman" w:eastAsia="仿宋_GB2312" w:cs="黑体"/>
                <w:color w:val="000000"/>
                <w:sz w:val="22"/>
                <w:szCs w:val="22"/>
              </w:rPr>
              <w:t>。</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83%</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促进高质量充分就业</w:t>
            </w: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城镇新增就业</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5600人</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区人社局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截至6月底，已完成3096人。</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55%</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4"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就业用工社保“三合一”数字服务</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“三合一”数字服务覆盖率达</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等省级完成系统，再具体实施，现已完成我区实施工作方案。</w:t>
            </w:r>
          </w:p>
        </w:tc>
        <w:tc>
          <w:tcPr>
            <w:tcW w:w="1066" w:type="dxa"/>
            <w:tcBorders>
              <w:tl2br w:val="single" w:color="auto" w:sz="4" w:space="0"/>
            </w:tcBorders>
            <w:noWrap w:val="0"/>
            <w:vAlign w:val="center"/>
          </w:tcPr>
          <w:p>
            <w:pPr>
              <w:snapToGrid w:val="0"/>
              <w:jc w:val="center"/>
              <w:rPr>
                <w:rFonts w:hint="eastAsia" w:ascii="仿宋_GB2312" w:hAnsi="Times New Roman" w:eastAsia="仿宋_GB2312" w:cs="黑体"/>
                <w:color w:val="000000"/>
                <w:sz w:val="22"/>
                <w:szCs w:val="22"/>
              </w:rPr>
            </w:pP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5"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“三合一”事项不少于</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20项</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等省级完成系统，再具体实施，现已完成我区实施工作方案。</w:t>
            </w:r>
          </w:p>
        </w:tc>
        <w:tc>
          <w:tcPr>
            <w:tcW w:w="1066" w:type="dxa"/>
            <w:tcBorders>
              <w:tl2br w:val="single" w:color="auto" w:sz="4" w:space="0"/>
            </w:tcBorders>
            <w:noWrap w:val="0"/>
            <w:vAlign w:val="center"/>
          </w:tcPr>
          <w:p>
            <w:pPr>
              <w:snapToGrid w:val="0"/>
              <w:jc w:val="center"/>
              <w:rPr>
                <w:rFonts w:hint="eastAsia" w:ascii="仿宋_GB2312" w:hAnsi="Times New Roman" w:eastAsia="仿宋_GB2312" w:cs="黑体"/>
                <w:color w:val="000000"/>
                <w:sz w:val="22"/>
                <w:szCs w:val="22"/>
              </w:rPr>
            </w:pP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16"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提高养老</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服务水平</w:t>
            </w: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建设老年助餐服务点</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4个</w:t>
            </w:r>
          </w:p>
        </w:tc>
        <w:tc>
          <w:tcPr>
            <w:tcW w:w="1715" w:type="dxa"/>
            <w:tcBorders>
              <w:bottom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区民政局</w:t>
            </w:r>
          </w:p>
        </w:tc>
        <w:tc>
          <w:tcPr>
            <w:tcW w:w="2398" w:type="dxa"/>
            <w:tcBorders>
              <w:bottom w:val="single" w:color="000000" w:sz="4" w:space="0"/>
            </w:tcBorders>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已完成3个（金盆社区、洞庭社区、枫桥湖社区），剩余1个（菱泊湖社区）正在进行设备安装，形象进度75%。</w:t>
            </w:r>
          </w:p>
        </w:tc>
        <w:tc>
          <w:tcPr>
            <w:tcW w:w="1066" w:type="dxa"/>
            <w:tcBorders>
              <w:bottom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75%</w:t>
            </w:r>
          </w:p>
        </w:tc>
        <w:tc>
          <w:tcPr>
            <w:tcW w:w="1157" w:type="dxa"/>
            <w:tcBorders>
              <w:bottom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实施特殊困难老年人家庭适老化改造</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89户</w:t>
            </w:r>
          </w:p>
        </w:tc>
        <w:tc>
          <w:tcPr>
            <w:tcW w:w="1715" w:type="dxa"/>
            <w:tcBorders>
              <w:top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区民政局</w:t>
            </w:r>
          </w:p>
        </w:tc>
        <w:tc>
          <w:tcPr>
            <w:tcW w:w="2398" w:type="dxa"/>
            <w:tcBorders>
              <w:top w:val="single" w:color="000000" w:sz="4" w:space="0"/>
            </w:tcBorders>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正在进行施工改造，任务完成率89%。</w:t>
            </w:r>
          </w:p>
        </w:tc>
        <w:tc>
          <w:tcPr>
            <w:tcW w:w="1066" w:type="dxa"/>
            <w:tcBorders>
              <w:top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89%</w:t>
            </w:r>
          </w:p>
        </w:tc>
        <w:tc>
          <w:tcPr>
            <w:tcW w:w="1157" w:type="dxa"/>
            <w:tcBorders>
              <w:top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5" w:hRule="atLeast"/>
          <w:jc w:val="center"/>
        </w:trPr>
        <w:tc>
          <w:tcPr>
            <w:tcW w:w="79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省级</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重点</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7</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提高社会</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治理水平</w:t>
            </w: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提供案件法律援助</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92件</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区司法局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已受理法律援助案件92件。</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38"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基层防灾减灾救灾能力提升</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为区级应急救援队伍配置易操作、易维护的救援装备</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1个</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区应急局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已申报万亿国债项目并下拨采购资金，省厅正在办理招标手续，待9月份完成集中采购后，将分签采购协议，预计11月中标单位供货验收。</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40%</w:t>
            </w:r>
          </w:p>
        </w:tc>
        <w:tc>
          <w:tcPr>
            <w:tcW w:w="1157"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9"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为镇（街道）应急救援队伍配置易操作、易维护的救援装备</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5个</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已申报万亿国债项目并下拨采购资金，省厅正在办理招标手续，待9月份完成集中采购后，将分签采购协议，预计11月中标单位供货验收后，下拨到各镇（街道）。</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40%</w:t>
            </w:r>
          </w:p>
        </w:tc>
        <w:tc>
          <w:tcPr>
            <w:tcW w:w="1157"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56"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完成应急广播体系建设和验收</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1个</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区文旅广电局</w:t>
            </w:r>
          </w:p>
        </w:tc>
        <w:tc>
          <w:tcPr>
            <w:tcW w:w="2398" w:type="dxa"/>
            <w:noWrap w:val="0"/>
            <w:vAlign w:val="center"/>
          </w:tcPr>
          <w:p>
            <w:pPr>
              <w:snapToGrid w:val="0"/>
              <w:jc w:val="lef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已开工，预计9月初完工验收。</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2" w:hRule="atLeast"/>
          <w:jc w:val="center"/>
        </w:trPr>
        <w:tc>
          <w:tcPr>
            <w:tcW w:w="79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省级</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重点</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提升数字</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服务能力</w:t>
            </w: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数字政务提升增效惠民工程</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完成新增上线“高效办成一件事”事项（如企业信息变更、就医等）</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17个</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区数据局</w:t>
            </w:r>
          </w:p>
        </w:tc>
        <w:tc>
          <w:tcPr>
            <w:tcW w:w="2398" w:type="dxa"/>
            <w:noWrap w:val="0"/>
            <w:vAlign w:val="center"/>
          </w:tcPr>
          <w:p>
            <w:pPr>
              <w:snapToGrid w:val="0"/>
              <w:spacing w:line="332" w:lineRule="exac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省级统筹，各市州分工试点推进，待市州的方案出台后，县市区再遵照执行，目前，17个“高效办成一件事”已上线运行“出生”“教育入学”等7个一件事改革。</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6"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新增惠民便企示范应用</w:t>
            </w:r>
            <w:r>
              <w:rPr>
                <w:rFonts w:hint="eastAsia" w:ascii="仿宋_GB2312" w:hAnsi="Times New Roman" w:eastAsia="仿宋_GB2312" w:cs="黑体"/>
                <w:color w:val="000000"/>
                <w:spacing w:val="6"/>
                <w:sz w:val="22"/>
                <w:szCs w:val="22"/>
              </w:rPr>
              <w:t>场景和高频特色服务事项</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1个</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spacing w:line="332" w:lineRule="exac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将“预约入园”作为示范应用场景，已完成开发与对接工作，并在“湘易办”APP和“岳办岳好”微信小程序云溪分站点上架。</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5"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企业和群众办事纸质证照免提交率提升至</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60%以上</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spacing w:line="332" w:lineRule="exac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由省直部门推进。目前，省直有关部门正在梳理纸质证照可免提交事项清单，我区已组织区直部门完成本部门“一网通办”事项梳理发布，并持续进行动态管理。</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3"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政务服务统一受理办结率提升至</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90%以上</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spacing w:line="332" w:lineRule="exac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由省直部门推进。目前</w:t>
            </w:r>
            <w:r>
              <w:rPr>
                <w:rFonts w:hint="eastAsia" w:ascii="仿宋_GB2312" w:hAnsi="Times New Roman" w:eastAsia="仿宋_GB2312" w:cs="黑体"/>
                <w:color w:val="000000"/>
                <w:spacing w:val="-6"/>
                <w:sz w:val="22"/>
                <w:szCs w:val="22"/>
              </w:rPr>
              <w:t>，省直有关部门正在拟定业务办理系统与省“一网通办”对接方案</w:t>
            </w:r>
            <w:r>
              <w:rPr>
                <w:rFonts w:hint="eastAsia" w:ascii="仿宋_GB2312" w:hAnsi="Times New Roman" w:eastAsia="仿宋_GB2312" w:cs="黑体"/>
                <w:color w:val="000000"/>
                <w:sz w:val="22"/>
                <w:szCs w:val="22"/>
              </w:rPr>
              <w:t>。</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2" w:hRule="atLeast"/>
          <w:jc w:val="center"/>
        </w:trPr>
        <w:tc>
          <w:tcPr>
            <w:tcW w:w="79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省级</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重点</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提升数字</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服务能力</w:t>
            </w: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社会保障卡居民服务“一卡通”</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加载交通出行功能的社保卡持卡人数达</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6000人</w:t>
            </w:r>
          </w:p>
        </w:tc>
        <w:tc>
          <w:tcPr>
            <w:tcW w:w="1715" w:type="dxa"/>
            <w:tcBorders>
              <w:bottom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区人社局</w:t>
            </w:r>
          </w:p>
        </w:tc>
        <w:tc>
          <w:tcPr>
            <w:tcW w:w="2398" w:type="dxa"/>
            <w:tcBorders>
              <w:bottom w:val="single" w:color="000000" w:sz="4" w:space="0"/>
            </w:tcBorders>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市里明确要求，待系统改造完成后，再统一开展全市加载交通功能的社保卡发行工作。</w:t>
            </w:r>
          </w:p>
        </w:tc>
        <w:tc>
          <w:tcPr>
            <w:tcW w:w="1066" w:type="dxa"/>
            <w:tcBorders>
              <w:bottom w:val="single" w:color="000000" w:sz="4" w:space="0"/>
              <w:tl2br w:val="single" w:color="auto" w:sz="4" w:space="0"/>
            </w:tcBorders>
            <w:noWrap w:val="0"/>
            <w:vAlign w:val="center"/>
          </w:tcPr>
          <w:p>
            <w:pPr>
              <w:snapToGrid w:val="0"/>
              <w:jc w:val="center"/>
              <w:rPr>
                <w:rFonts w:hint="eastAsia" w:ascii="仿宋_GB2312" w:hAnsi="Times New Roman" w:eastAsia="仿宋_GB2312" w:cs="黑体"/>
                <w:color w:val="000000"/>
                <w:sz w:val="22"/>
                <w:szCs w:val="22"/>
              </w:rPr>
            </w:pPr>
          </w:p>
        </w:tc>
        <w:tc>
          <w:tcPr>
            <w:tcW w:w="1157" w:type="dxa"/>
            <w:tcBorders>
              <w:bottom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3"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jc w:val="cente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市城区公交车载设备（机具）改造率达</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90%以上</w:t>
            </w:r>
          </w:p>
        </w:tc>
        <w:tc>
          <w:tcPr>
            <w:tcW w:w="1715" w:type="dxa"/>
            <w:tcBorders>
              <w:top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区交通局</w:t>
            </w:r>
          </w:p>
        </w:tc>
        <w:tc>
          <w:tcPr>
            <w:tcW w:w="2398" w:type="dxa"/>
            <w:tcBorders>
              <w:top w:val="single" w:color="000000" w:sz="4" w:space="0"/>
            </w:tcBorders>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待人社部门第三代社保卡开发后，市公交集团再进行车载机具软件升级改造。</w:t>
            </w:r>
          </w:p>
        </w:tc>
        <w:tc>
          <w:tcPr>
            <w:tcW w:w="1066" w:type="dxa"/>
            <w:tcBorders>
              <w:top w:val="single" w:color="000000" w:sz="4" w:space="0"/>
              <w:tl2br w:val="single" w:color="auto" w:sz="4" w:space="0"/>
            </w:tcBorders>
            <w:noWrap w:val="0"/>
            <w:vAlign w:val="center"/>
          </w:tcPr>
          <w:p>
            <w:pPr>
              <w:snapToGrid w:val="0"/>
              <w:jc w:val="center"/>
              <w:rPr>
                <w:rFonts w:hint="eastAsia" w:ascii="仿宋_GB2312" w:hAnsi="Times New Roman" w:eastAsia="仿宋_GB2312" w:cs="黑体"/>
                <w:color w:val="000000"/>
                <w:sz w:val="22"/>
                <w:szCs w:val="22"/>
              </w:rPr>
            </w:pPr>
          </w:p>
        </w:tc>
        <w:tc>
          <w:tcPr>
            <w:tcW w:w="1157" w:type="dxa"/>
            <w:tcBorders>
              <w:top w:val="single" w:color="000000" w:sz="4" w:space="0"/>
            </w:tcBorders>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2"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9</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改善人居</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环境</w:t>
            </w: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开工改造城镇老旧小区(具备条件的小区楼房加装电梯，完善消防安全设施)</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2个</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区住建局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2个小区已开工建设。</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w:t>
            </w:r>
          </w:p>
        </w:tc>
        <w:tc>
          <w:tcPr>
            <w:tcW w:w="1157"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CellMar>
            <w:top w:w="0" w:type="dxa"/>
            <w:left w:w="28" w:type="dxa"/>
            <w:bottom w:w="0" w:type="dxa"/>
            <w:right w:w="28" w:type="dxa"/>
          </w:tblCellMar>
        </w:tblPrEx>
        <w:trPr>
          <w:trHeight w:val="836"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4246" w:type="dxa"/>
            <w:gridSpan w:val="2"/>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开工建设保障性租赁住房</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100套</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已开工建设。</w:t>
            </w:r>
          </w:p>
        </w:tc>
        <w:tc>
          <w:tcPr>
            <w:tcW w:w="1066" w:type="dxa"/>
            <w:tcBorders>
              <w:tl2br w:val="single" w:color="auto" w:sz="4" w:space="0"/>
            </w:tcBorders>
            <w:noWrap w:val="0"/>
            <w:vAlign w:val="center"/>
          </w:tcPr>
          <w:p>
            <w:pPr>
              <w:snapToGrid w:val="0"/>
              <w:jc w:val="center"/>
              <w:rPr>
                <w:rFonts w:hint="eastAsia" w:ascii="仿宋_GB2312" w:hAnsi="Times New Roman" w:eastAsia="仿宋_GB2312" w:cs="黑体"/>
                <w:color w:val="000000"/>
                <w:sz w:val="22"/>
                <w:szCs w:val="22"/>
              </w:rPr>
            </w:pPr>
          </w:p>
        </w:tc>
        <w:tc>
          <w:tcPr>
            <w:tcW w:w="1157"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9"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w:t>
            </w:r>
          </w:p>
        </w:tc>
        <w:tc>
          <w:tcPr>
            <w:tcW w:w="1325" w:type="dxa"/>
            <w:gridSpan w:val="2"/>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提升农业</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农村基础</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设施水平</w:t>
            </w: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农</w:t>
            </w:r>
            <w:r>
              <w:rPr>
                <w:rFonts w:hint="eastAsia" w:ascii="仿宋_GB2312" w:hAnsi="Times New Roman" w:eastAsia="仿宋_GB2312" w:cs="黑体"/>
                <w:color w:val="000000"/>
                <w:spacing w:val="-6"/>
                <w:sz w:val="22"/>
                <w:szCs w:val="22"/>
              </w:rPr>
              <w:t>村“三路”建设及农村公路安防</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建设农村公路安防设施(含标志标牌)</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104公里</w:t>
            </w:r>
          </w:p>
        </w:tc>
        <w:tc>
          <w:tcPr>
            <w:tcW w:w="1715" w:type="dxa"/>
            <w:vMerge w:val="restart"/>
            <w:noWrap w:val="0"/>
            <w:vAlign w:val="center"/>
          </w:tcPr>
          <w:p>
            <w:pPr>
              <w:snapToGrid w:val="0"/>
              <w:jc w:val="center"/>
              <w:rPr>
                <w:rFonts w:hint="eastAsia" w:ascii="仿宋_GB2312" w:hAnsi="Times New Roman" w:eastAsia="仿宋_GB2312" w:cs="黑体"/>
                <w:color w:val="000000"/>
                <w:spacing w:val="-6"/>
                <w:sz w:val="22"/>
                <w:szCs w:val="22"/>
              </w:rPr>
            </w:pPr>
            <w:r>
              <w:rPr>
                <w:rFonts w:hint="eastAsia" w:ascii="仿宋_GB2312" w:hAnsi="Times New Roman" w:eastAsia="仿宋_GB2312" w:cs="黑体"/>
                <w:color w:val="000000"/>
                <w:spacing w:val="-6"/>
                <w:sz w:val="22"/>
                <w:szCs w:val="22"/>
              </w:rPr>
              <w:t>区公路建养中心</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完成57公里。</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55%</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普通国省道安全设施精细化提升</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17公里</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完成17公里。</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4"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1796" w:type="dxa"/>
            <w:vMerge w:val="restart"/>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农村水源保障及灌溉能力提升</w:t>
            </w: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新增蓄水能力</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2.4万方</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区水利局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已完成13口山塘清淤整治，新增蓄水1.95万方。</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81%</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6"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325" w:type="dxa"/>
            <w:gridSpan w:val="2"/>
            <w:vMerge w:val="continue"/>
            <w:noWrap w:val="0"/>
            <w:vAlign w:val="center"/>
          </w:tcPr>
          <w:p>
            <w:pPr>
              <w:rPr>
                <w:rFonts w:ascii="Times New Roman" w:hAnsi="Times New Roman" w:eastAsia="宋体" w:cs="Times New Roman"/>
                <w:color w:val="000000"/>
                <w:sz w:val="22"/>
                <w:szCs w:val="22"/>
              </w:rPr>
            </w:pPr>
          </w:p>
        </w:tc>
        <w:tc>
          <w:tcPr>
            <w:tcW w:w="1796" w:type="dxa"/>
            <w:vMerge w:val="continue"/>
            <w:noWrap w:val="0"/>
            <w:vAlign w:val="center"/>
          </w:tcPr>
          <w:p>
            <w:pPr>
              <w:rPr>
                <w:rFonts w:ascii="Times New Roman" w:hAnsi="Times New Roman" w:eastAsia="宋体" w:cs="Times New Roman"/>
                <w:color w:val="000000"/>
                <w:sz w:val="22"/>
                <w:szCs w:val="22"/>
              </w:rPr>
            </w:pPr>
          </w:p>
        </w:tc>
        <w:tc>
          <w:tcPr>
            <w:tcW w:w="2450"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恢复和改善灌溉面积</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1.1万亩</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已恢复和改善灌溉面积1.1万亩。</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5" w:hRule="atLeast"/>
          <w:jc w:val="center"/>
        </w:trPr>
        <w:tc>
          <w:tcPr>
            <w:tcW w:w="79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市级</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重点</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实事</w:t>
            </w: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11</w:t>
            </w:r>
          </w:p>
        </w:tc>
        <w:tc>
          <w:tcPr>
            <w:tcW w:w="5571" w:type="dxa"/>
            <w:gridSpan w:val="4"/>
            <w:noWrap w:val="0"/>
            <w:vAlign w:val="center"/>
          </w:tcPr>
          <w:p>
            <w:pPr>
              <w:snapToGrid w:val="0"/>
              <w:rPr>
                <w:rFonts w:hint="eastAsia" w:ascii="仿宋_GB2312" w:hAnsi="Times New Roman" w:eastAsia="仿宋_GB2312" w:cs="黑体"/>
                <w:color w:val="000000"/>
                <w:spacing w:val="6"/>
                <w:sz w:val="22"/>
                <w:szCs w:val="22"/>
              </w:rPr>
            </w:pPr>
            <w:r>
              <w:rPr>
                <w:rFonts w:hint="eastAsia" w:ascii="仿宋_GB2312" w:hAnsi="Times New Roman" w:eastAsia="仿宋_GB2312" w:cs="黑体"/>
                <w:color w:val="000000"/>
                <w:spacing w:val="6"/>
                <w:sz w:val="22"/>
                <w:szCs w:val="22"/>
              </w:rPr>
              <w:t>实施海绵城市项目建设，城市建成区达到海绵城市建设要求</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25%以上</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面积</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区住建局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pacing w:val="-6"/>
                <w:sz w:val="22"/>
                <w:szCs w:val="22"/>
              </w:rPr>
              <w:t>我区已实施海绵城市建设项目2个（长岭工业片区危货停车场、岳化二小）</w:t>
            </w:r>
            <w:r>
              <w:rPr>
                <w:rFonts w:hint="eastAsia" w:ascii="仿宋_GB2312" w:hAnsi="Times New Roman" w:eastAsia="仿宋_GB2312" w:cs="黑体"/>
                <w:color w:val="000000"/>
                <w:sz w:val="22"/>
                <w:szCs w:val="22"/>
              </w:rPr>
              <w:t>。</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40%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5"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12</w:t>
            </w:r>
          </w:p>
        </w:tc>
        <w:tc>
          <w:tcPr>
            <w:tcW w:w="5571" w:type="dxa"/>
            <w:gridSpan w:val="4"/>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完成医保参保资助、住院救助、门诊救助、再救助</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6600人次</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区医保局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已救助人数8105人。</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122%</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5"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13</w:t>
            </w:r>
          </w:p>
        </w:tc>
        <w:tc>
          <w:tcPr>
            <w:tcW w:w="5571" w:type="dxa"/>
            <w:gridSpan w:val="4"/>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实行孕产妇13种致畸基因免费筛查</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500人次</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区卫健局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已完成269人。</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54%</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5"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14</w:t>
            </w:r>
          </w:p>
        </w:tc>
        <w:tc>
          <w:tcPr>
            <w:tcW w:w="5571" w:type="dxa"/>
            <w:gridSpan w:val="4"/>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实施计划生育特殊家庭关怀扶助</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218人</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对全区218名计划生育特殊家庭发放半年扶助金119.196万元。</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1"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15</w:t>
            </w:r>
          </w:p>
        </w:tc>
        <w:tc>
          <w:tcPr>
            <w:tcW w:w="5571" w:type="dxa"/>
            <w:gridSpan w:val="4"/>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完成乡镇寄宿制学校建设</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2所</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区教体局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长炼学校食堂、运动场、教师周转房改造等项目已完成，岳化三中学生食堂、宿舍、公租房改造、实验室更新已完成，两所学校的信息化建设已完成，秋季开学投入使用。</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9" w:hRule="atLeast"/>
          <w:jc w:val="center"/>
        </w:trPr>
        <w:tc>
          <w:tcPr>
            <w:tcW w:w="79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市级</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重点</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民生</w:t>
            </w:r>
          </w:p>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实事</w:t>
            </w:r>
          </w:p>
        </w:tc>
        <w:tc>
          <w:tcPr>
            <w:tcW w:w="672"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16</w:t>
            </w:r>
          </w:p>
        </w:tc>
        <w:tc>
          <w:tcPr>
            <w:tcW w:w="11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大力推进宜居宜业“和美乡村”建设</w:t>
            </w:r>
          </w:p>
        </w:tc>
        <w:tc>
          <w:tcPr>
            <w:tcW w:w="4456" w:type="dxa"/>
            <w:gridSpan w:val="3"/>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建设市级和美乡村</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2个</w:t>
            </w:r>
          </w:p>
        </w:tc>
        <w:tc>
          <w:tcPr>
            <w:tcW w:w="1715" w:type="dxa"/>
            <w:vMerge w:val="restart"/>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区农业农村局</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钢铁村、建设村已申报为市级和美乡村，目前正在创建中。</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53%</w:t>
            </w:r>
          </w:p>
        </w:tc>
        <w:tc>
          <w:tcPr>
            <w:tcW w:w="1157" w:type="dxa"/>
            <w:noWrap w:val="0"/>
            <w:vAlign w:val="center"/>
          </w:tcPr>
          <w:p>
            <w:pPr>
              <w:snapToGrid w:val="0"/>
              <w:rPr>
                <w:rFonts w:hint="eastAsia" w:ascii="仿宋_GB2312" w:hAnsi="Times New Roman" w:eastAsia="仿宋_GB2312" w:cs="黑体"/>
                <w:color w:val="000000"/>
                <w:sz w:val="22"/>
                <w:szCs w:val="22"/>
                <w:lang w:val="en" w:eastAsia="en"/>
              </w:rPr>
            </w:pPr>
            <w:r>
              <w:rPr>
                <w:rFonts w:hint="eastAsia" w:ascii="仿宋_GB2312" w:hAnsi="Times New Roman" w:eastAsia="仿宋_GB2312" w:cs="黑体"/>
                <w:color w:val="000000"/>
                <w:sz w:val="22"/>
                <w:szCs w:val="22"/>
                <w:lang w:val="en" w:eastAsia="en"/>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7"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115" w:type="dxa"/>
            <w:vMerge w:val="continue"/>
            <w:noWrap w:val="0"/>
            <w:vAlign w:val="center"/>
          </w:tcPr>
          <w:p>
            <w:pPr>
              <w:rPr>
                <w:rFonts w:ascii="Times New Roman" w:hAnsi="Times New Roman" w:eastAsia="宋体" w:cs="Times New Roman"/>
                <w:color w:val="000000"/>
                <w:sz w:val="22"/>
                <w:szCs w:val="22"/>
              </w:rPr>
            </w:pPr>
          </w:p>
        </w:tc>
        <w:tc>
          <w:tcPr>
            <w:tcW w:w="4456" w:type="dxa"/>
            <w:gridSpan w:val="3"/>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建设市级美丽屋场</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2个</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枫桥湖村七房组、基隆村</w:t>
            </w:r>
            <w:r>
              <w:rPr>
                <w:rFonts w:hint="eastAsia" w:ascii="仿宋_GB2312" w:hAnsi="Times New Roman" w:eastAsia="仿宋_GB2312" w:cs="黑体"/>
                <w:color w:val="000000"/>
                <w:spacing w:val="-6"/>
                <w:sz w:val="22"/>
                <w:szCs w:val="22"/>
              </w:rPr>
              <w:t>月形组已申报为市级美丽屋场，目前正在创建中</w:t>
            </w:r>
            <w:r>
              <w:rPr>
                <w:rFonts w:hint="eastAsia" w:ascii="仿宋_GB2312" w:hAnsi="Times New Roman" w:eastAsia="仿宋_GB2312" w:cs="黑体"/>
                <w:color w:val="000000"/>
                <w:sz w:val="22"/>
                <w:szCs w:val="22"/>
              </w:rPr>
              <w:t>。</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60%</w:t>
            </w:r>
          </w:p>
        </w:tc>
        <w:tc>
          <w:tcPr>
            <w:tcW w:w="1157"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lang w:val="en" w:eastAsia="en"/>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8"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115" w:type="dxa"/>
            <w:vMerge w:val="continue"/>
            <w:noWrap w:val="0"/>
            <w:vAlign w:val="center"/>
          </w:tcPr>
          <w:p>
            <w:pPr>
              <w:rPr>
                <w:rFonts w:ascii="Times New Roman" w:hAnsi="Times New Roman" w:eastAsia="宋体" w:cs="Times New Roman"/>
                <w:color w:val="000000"/>
                <w:sz w:val="22"/>
                <w:szCs w:val="22"/>
              </w:rPr>
            </w:pPr>
          </w:p>
        </w:tc>
        <w:tc>
          <w:tcPr>
            <w:tcW w:w="4456" w:type="dxa"/>
            <w:gridSpan w:val="3"/>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农村人居环境整治提档升级村</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12个</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jc w:val="lef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基隆村、道仁矶社区、陆逊社区、陆城村、坪田村、建设村、团结村、槠木桥社区、南山村、江湖村、长岭村、望城村等12村正在提档升级中。</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55%</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lang w:val="en" w:eastAsia="en"/>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vMerge w:val="continue"/>
            <w:noWrap w:val="0"/>
            <w:vAlign w:val="center"/>
          </w:tcPr>
          <w:p>
            <w:pPr>
              <w:rPr>
                <w:rFonts w:ascii="Times New Roman" w:hAnsi="Times New Roman" w:eastAsia="宋体" w:cs="Times New Roman"/>
                <w:color w:val="000000"/>
                <w:sz w:val="22"/>
                <w:szCs w:val="22"/>
              </w:rPr>
            </w:pPr>
          </w:p>
        </w:tc>
        <w:tc>
          <w:tcPr>
            <w:tcW w:w="1115" w:type="dxa"/>
            <w:vMerge w:val="continue"/>
            <w:noWrap w:val="0"/>
            <w:vAlign w:val="center"/>
          </w:tcPr>
          <w:p>
            <w:pPr>
              <w:rPr>
                <w:rFonts w:ascii="Times New Roman" w:hAnsi="Times New Roman" w:eastAsia="宋体" w:cs="Times New Roman"/>
                <w:color w:val="000000"/>
                <w:sz w:val="22"/>
                <w:szCs w:val="22"/>
              </w:rPr>
            </w:pPr>
          </w:p>
        </w:tc>
        <w:tc>
          <w:tcPr>
            <w:tcW w:w="4456" w:type="dxa"/>
            <w:gridSpan w:val="3"/>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创建市级和美乡村示范村</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3个</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jc w:val="left"/>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清溪村、双花村、八一村正在积极创建市级和美乡村。</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75%</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lang w:val="en" w:eastAsia="en"/>
              </w:rPr>
              <w:t>正常推进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4"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17</w:t>
            </w:r>
          </w:p>
        </w:tc>
        <w:tc>
          <w:tcPr>
            <w:tcW w:w="5571" w:type="dxa"/>
            <w:gridSpan w:val="4"/>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建成高标准农田</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0.56万亩</w:t>
            </w:r>
          </w:p>
        </w:tc>
        <w:tc>
          <w:tcPr>
            <w:tcW w:w="1715" w:type="dxa"/>
            <w:vMerge w:val="continue"/>
            <w:noWrap w:val="0"/>
            <w:vAlign w:val="center"/>
          </w:tcPr>
          <w:p>
            <w:pPr>
              <w:rPr>
                <w:rFonts w:ascii="Times New Roman" w:hAnsi="Times New Roman" w:eastAsia="宋体" w:cs="Times New Roman"/>
                <w:color w:val="000000"/>
                <w:sz w:val="22"/>
                <w:szCs w:val="22"/>
              </w:rPr>
            </w:pP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已完工。</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100%</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792" w:type="dxa"/>
            <w:vMerge w:val="continue"/>
            <w:noWrap w:val="0"/>
            <w:vAlign w:val="center"/>
          </w:tcPr>
          <w:p>
            <w:pPr>
              <w:rPr>
                <w:rFonts w:ascii="Times New Roman" w:hAnsi="Times New Roman" w:eastAsia="宋体" w:cs="Times New Roman"/>
                <w:color w:val="000000"/>
                <w:sz w:val="22"/>
                <w:szCs w:val="22"/>
              </w:rPr>
            </w:pPr>
          </w:p>
        </w:tc>
        <w:tc>
          <w:tcPr>
            <w:tcW w:w="672"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18</w:t>
            </w:r>
          </w:p>
        </w:tc>
        <w:tc>
          <w:tcPr>
            <w:tcW w:w="5571" w:type="dxa"/>
            <w:gridSpan w:val="4"/>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实施电网巩固提升工程(投入资金)</w:t>
            </w:r>
          </w:p>
        </w:tc>
        <w:tc>
          <w:tcPr>
            <w:tcW w:w="1290"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1992万元</w:t>
            </w:r>
          </w:p>
        </w:tc>
        <w:tc>
          <w:tcPr>
            <w:tcW w:w="1715"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供电分公司</w:t>
            </w:r>
          </w:p>
        </w:tc>
        <w:tc>
          <w:tcPr>
            <w:tcW w:w="2398" w:type="dxa"/>
            <w:noWrap w:val="0"/>
            <w:vAlign w:val="center"/>
          </w:tcPr>
          <w:p>
            <w:pPr>
              <w:snapToGrid w:val="0"/>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已完成1340万配电网建设投资。目前正在按照里程碑节点进行中。</w:t>
            </w:r>
          </w:p>
        </w:tc>
        <w:tc>
          <w:tcPr>
            <w:tcW w:w="1066"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67%</w:t>
            </w:r>
          </w:p>
        </w:tc>
        <w:tc>
          <w:tcPr>
            <w:tcW w:w="1157" w:type="dxa"/>
            <w:noWrap w:val="0"/>
            <w:vAlign w:val="center"/>
          </w:tcPr>
          <w:p>
            <w:pPr>
              <w:snapToGrid w:val="0"/>
              <w:jc w:val="center"/>
              <w:rPr>
                <w:rFonts w:hint="eastAsia" w:ascii="仿宋_GB2312" w:hAnsi="Times New Roman" w:eastAsia="仿宋_GB2312" w:cs="黑体"/>
                <w:color w:val="000000"/>
                <w:sz w:val="22"/>
                <w:szCs w:val="22"/>
              </w:rPr>
            </w:pPr>
            <w:r>
              <w:rPr>
                <w:rFonts w:hint="eastAsia" w:ascii="仿宋_GB2312" w:hAnsi="Times New Roman" w:eastAsia="仿宋_GB2312" w:cs="黑体"/>
                <w:color w:val="000000"/>
                <w:sz w:val="22"/>
                <w:szCs w:val="22"/>
              </w:rPr>
              <w:t>正常推进</w:t>
            </w:r>
          </w:p>
        </w:tc>
      </w:tr>
    </w:tbl>
    <w:p>
      <w:pPr>
        <w:snapToGrid w:val="0"/>
        <w:spacing w:before="93" w:beforeLines="30"/>
        <w:rPr>
          <w:rFonts w:hint="eastAsia" w:ascii="仿宋_GB2312" w:hAnsi="Times New Roman" w:eastAsia="仿宋_GB2312" w:cs="Times New Roman"/>
          <w:color w:val="000000"/>
          <w:sz w:val="24"/>
        </w:rPr>
        <w:sectPr>
          <w:headerReference r:id="rId10" w:type="default"/>
          <w:footerReference r:id="rId11" w:type="default"/>
          <w:pgSz w:w="16838" w:h="11906" w:orient="landscape"/>
          <w:pgMar w:top="1587" w:right="1440" w:bottom="1474" w:left="1440" w:header="851" w:footer="992" w:gutter="0"/>
          <w:cols w:space="720" w:num="1"/>
          <w:docGrid w:type="lines" w:linePitch="312" w:charSpace="0"/>
        </w:sectPr>
      </w:pPr>
      <w:r>
        <w:rPr>
          <w:rFonts w:hint="eastAsia" w:ascii="仿宋_GB2312" w:hAnsi="Times New Roman" w:eastAsia="仿宋_GB2312" w:cs="Times New Roman"/>
          <w:color w:val="000000"/>
          <w:sz w:val="24"/>
        </w:rPr>
        <w:t>注：1-10项为省级重点民生实事，11-18项为市级重点民生实事。</w:t>
      </w:r>
    </w:p>
    <w:p>
      <w:pPr>
        <w:spacing w:line="560" w:lineRule="exact"/>
        <w:ind w:firstLine="640" w:firstLineChars="200"/>
        <w:jc w:val="right"/>
        <w:rPr>
          <w:rFonts w:hint="eastAsia" w:ascii="仿宋_GB2312" w:hAnsi="Times New Roman" w:eastAsia="仿宋_GB2312" w:cs="Times New Roman"/>
          <w:sz w:val="32"/>
          <w:szCs w:val="32"/>
        </w:rPr>
      </w:pPr>
    </w:p>
    <w:p>
      <w:pPr>
        <w:spacing w:line="570" w:lineRule="exact"/>
        <w:rPr>
          <w:rFonts w:hint="eastAsia" w:ascii="仿宋_GB2312" w:eastAsia="仿宋_GB2312"/>
          <w:sz w:val="32"/>
          <w:szCs w:val="32"/>
        </w:rPr>
      </w:pPr>
    </w:p>
    <w:p>
      <w:pPr>
        <w:spacing w:line="570" w:lineRule="exact"/>
        <w:rPr>
          <w:rFonts w:hint="eastAsia" w:ascii="仿宋_GB2312" w:eastAsia="仿宋_GB2312"/>
          <w:sz w:val="32"/>
          <w:szCs w:val="32"/>
        </w:rPr>
      </w:pPr>
    </w:p>
    <w:p>
      <w:pPr>
        <w:spacing w:line="570" w:lineRule="exact"/>
        <w:rPr>
          <w:rFonts w:hint="eastAsia" w:ascii="仿宋_GB2312" w:eastAsia="仿宋_GB2312"/>
          <w:sz w:val="32"/>
          <w:szCs w:val="32"/>
        </w:rPr>
      </w:pPr>
    </w:p>
    <w:p>
      <w:pPr>
        <w:wordWrap w:val="0"/>
        <w:jc w:val="right"/>
        <w:rPr>
          <w:rFonts w:hint="eastAsia" w:ascii="仿宋_GB2312" w:eastAsia="仿宋_GB2312"/>
          <w:sz w:val="32"/>
          <w:szCs w:val="32"/>
        </w:rPr>
      </w:pPr>
      <w:r>
        <w:rPr>
          <w:rFonts w:hint="eastAsia" w:ascii="仿宋_GB2312" w:eastAsia="仿宋_GB2312"/>
          <w:sz w:val="32"/>
          <w:szCs w:val="32"/>
        </w:rPr>
        <w:t>岳云政办函〔2024〕9号</w:t>
      </w:r>
    </w:p>
    <w:p>
      <w:pPr>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关于印发《云溪区贯彻落实2024年省政府大抓落实工作激励措施二十条任务分解》的通知</w:t>
      </w:r>
    </w:p>
    <w:p>
      <w:pPr>
        <w:spacing w:line="600" w:lineRule="exact"/>
        <w:rPr>
          <w:rFonts w:hint="eastAsia" w:ascii="仿宋_GB2312" w:eastAsia="仿宋_GB2312"/>
          <w:sz w:val="32"/>
          <w:szCs w:val="32"/>
        </w:rPr>
      </w:pPr>
    </w:p>
    <w:p>
      <w:pPr>
        <w:spacing w:line="590" w:lineRule="exact"/>
        <w:rPr>
          <w:rFonts w:hint="eastAsia" w:ascii="仿宋_GB2312" w:eastAsia="仿宋_GB2312"/>
          <w:sz w:val="32"/>
          <w:szCs w:val="32"/>
        </w:rPr>
      </w:pPr>
      <w:r>
        <w:rPr>
          <w:rFonts w:hint="eastAsia" w:ascii="仿宋_GB2312" w:eastAsia="仿宋_GB2312"/>
          <w:spacing w:val="-6"/>
          <w:sz w:val="32"/>
          <w:szCs w:val="32"/>
        </w:rPr>
        <w:t>各镇人民政府、街道办事处，绿色化工高新区管委会，区直及驻区</w:t>
      </w:r>
      <w:r>
        <w:rPr>
          <w:rFonts w:hint="eastAsia" w:ascii="仿宋_GB2312" w:eastAsia="仿宋_GB2312"/>
          <w:sz w:val="32"/>
          <w:szCs w:val="32"/>
        </w:rPr>
        <w:t>各单位：</w:t>
      </w:r>
    </w:p>
    <w:p>
      <w:pPr>
        <w:spacing w:line="590" w:lineRule="exact"/>
        <w:ind w:firstLine="640" w:firstLineChars="200"/>
        <w:jc w:val="both"/>
        <w:rPr>
          <w:rFonts w:hint="eastAsia" w:ascii="仿宋_GB2312" w:eastAsia="仿宋_GB2312"/>
          <w:sz w:val="32"/>
          <w:szCs w:val="32"/>
        </w:rPr>
      </w:pPr>
      <w:r>
        <w:rPr>
          <w:rFonts w:hint="eastAsia" w:ascii="仿宋_GB2312" w:eastAsia="仿宋_GB2312"/>
          <w:sz w:val="32"/>
          <w:szCs w:val="32"/>
        </w:rPr>
        <w:t>为贯彻落实2024年省政府大抓落实工作激励措施二十条，力争我区更多工作获得省政府激励，经区人民政府同意，现将《云溪区贯彻落实2024年省政府大抓落实工作激励措施二十条任务分解》印发给你们，请结合实际认真抓好落实。</w:t>
      </w:r>
    </w:p>
    <w:p>
      <w:pPr>
        <w:pStyle w:val="8"/>
        <w:shd w:val="clear" w:color="auto" w:fill="FFFFFF"/>
        <w:spacing w:line="590" w:lineRule="exact"/>
        <w:ind w:firstLine="640" w:firstLineChars="200"/>
        <w:jc w:val="both"/>
        <w:rPr>
          <w:rFonts w:ascii="仿宋_GB2312" w:eastAsia="仿宋_GB2312"/>
          <w:sz w:val="32"/>
          <w:szCs w:val="32"/>
        </w:rPr>
      </w:pPr>
      <w:r>
        <w:rPr>
          <w:rFonts w:ascii="黑体" w:hAnsi="黑体" w:eastAsia="黑体"/>
          <w:sz w:val="32"/>
          <w:szCs w:val="32"/>
        </w:rPr>
        <w:t>一、</w:t>
      </w:r>
      <w:r>
        <w:rPr>
          <w:rFonts w:ascii="黑体" w:hAnsi="黑体" w:eastAsia="黑体" w:cs="黑体"/>
          <w:sz w:val="32"/>
          <w:szCs w:val="32"/>
          <w:shd w:val="clear" w:color="auto" w:fill="FFFFFF"/>
        </w:rPr>
        <w:t>提高思想认识，奋力创优争先。</w:t>
      </w:r>
      <w:r>
        <w:rPr>
          <w:rFonts w:ascii="仿宋_GB2312" w:hAnsi="仿宋_GB2312" w:eastAsia="仿宋_GB2312" w:cs="仿宋_GB2312"/>
          <w:sz w:val="32"/>
          <w:szCs w:val="32"/>
          <w:shd w:val="clear" w:color="auto" w:fill="FFFFFF"/>
        </w:rPr>
        <w:t>省政府大抓落实工作激励措施</w:t>
      </w:r>
      <w:r>
        <w:rPr>
          <w:rFonts w:ascii="仿宋_GB2312" w:eastAsia="仿宋_GB2312"/>
          <w:sz w:val="32"/>
          <w:szCs w:val="32"/>
        </w:rPr>
        <w:t>二十条（以下简称“二十条”）</w:t>
      </w:r>
      <w:r>
        <w:rPr>
          <w:rFonts w:ascii="仿宋_GB2312" w:hAnsi="仿宋_GB2312" w:eastAsia="仿宋_GB2312" w:cs="仿宋_GB2312"/>
          <w:sz w:val="32"/>
          <w:szCs w:val="32"/>
          <w:shd w:val="clear" w:color="auto" w:fill="FFFFFF"/>
        </w:rPr>
        <w:t>紧扣贯彻习近平总书记考察湖南重要讲话和指示精神，围绕服务发展大局，是全省工作把握重点、攻克关键、突破难点的重要举措。要进一步深刻认识“二十条”激励的“指挥棒”作用，秉持未雨绸缪、先行一步的理念，全力抢抓机遇，努力“跳起来摘桃子”，持续营造你追我赶、蓬勃发展的积极态势。</w:t>
      </w:r>
    </w:p>
    <w:p>
      <w:pPr>
        <w:spacing w:line="590" w:lineRule="exact"/>
        <w:ind w:firstLine="640" w:firstLineChars="200"/>
        <w:jc w:val="both"/>
        <w:rPr>
          <w:rFonts w:hint="eastAsia" w:ascii="仿宋_GB2312" w:eastAsia="仿宋_GB2312"/>
          <w:sz w:val="32"/>
          <w:szCs w:val="32"/>
        </w:rPr>
      </w:pPr>
      <w:r>
        <w:rPr>
          <w:rFonts w:hint="eastAsia" w:ascii="黑体" w:hAnsi="黑体" w:eastAsia="黑体"/>
          <w:sz w:val="32"/>
          <w:szCs w:val="32"/>
        </w:rPr>
        <w:t>二、</w:t>
      </w:r>
      <w:r>
        <w:rPr>
          <w:rFonts w:hint="eastAsia" w:ascii="黑体" w:hAnsi="黑体" w:eastAsia="黑体" w:cs="黑体"/>
          <w:sz w:val="32"/>
          <w:szCs w:val="32"/>
          <w:shd w:val="clear" w:color="auto" w:fill="FFFFFF"/>
        </w:rPr>
        <w:t>压紧工作责任，稳固工作基石。</w:t>
      </w:r>
      <w:r>
        <w:rPr>
          <w:rFonts w:hint="eastAsia" w:ascii="仿宋_GB2312" w:hAnsi="仿宋_GB2312" w:eastAsia="仿宋_GB2312" w:cs="仿宋_GB2312"/>
          <w:sz w:val="32"/>
          <w:szCs w:val="32"/>
          <w:shd w:val="clear" w:color="auto" w:fill="FFFFFF"/>
        </w:rPr>
        <w:t>各相关责任单位要对照任务分解，进一步明晰目标清单、措施清单与责任清单，对难点、堵点和卡点进行全面梳理，找准切入点、着力点及突破点，促使各项工作落到实处。要加强主动对接，全面吃透政策，掌握评价要求，及时归纳亮点特色，积极向上宣传推介，为全年的争先创优筑牢工作根基。</w:t>
      </w:r>
    </w:p>
    <w:p>
      <w:pPr>
        <w:pStyle w:val="8"/>
        <w:shd w:val="clear" w:color="auto" w:fill="FFFFFF"/>
        <w:spacing w:line="600" w:lineRule="exact"/>
        <w:ind w:firstLine="640" w:firstLineChars="200"/>
        <w:jc w:val="both"/>
        <w:rPr>
          <w:rFonts w:ascii="仿宋_GB2312" w:eastAsia="仿宋_GB2312"/>
          <w:spacing w:val="-6"/>
          <w:sz w:val="32"/>
          <w:szCs w:val="32"/>
        </w:rPr>
      </w:pPr>
      <w:r>
        <w:rPr>
          <w:rFonts w:ascii="黑体" w:hAnsi="黑体" w:eastAsia="黑体"/>
          <w:sz w:val="32"/>
          <w:szCs w:val="32"/>
        </w:rPr>
        <w:t>三、加强调度推进，确保任务落实。</w:t>
      </w:r>
      <w:r>
        <w:rPr>
          <w:rFonts w:ascii="仿宋_GB2312" w:eastAsia="仿宋_GB2312"/>
          <w:sz w:val="32"/>
          <w:szCs w:val="32"/>
        </w:rPr>
        <w:t>区政府办公室实行“一月一调度”方式，强化跟踪问效，督促工作落实，及时向区政府报告工作进展情况。对获得省政府大抓落实激励表扬的牵头单位，区政府将予</w:t>
      </w:r>
      <w:r>
        <w:rPr>
          <w:rFonts w:ascii="仿宋_GB2312" w:eastAsia="仿宋_GB2312"/>
          <w:spacing w:val="-6"/>
          <w:sz w:val="32"/>
          <w:szCs w:val="32"/>
        </w:rPr>
        <w:t>以通报表扬。</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p>
    <w:p>
      <w:pPr>
        <w:spacing w:line="600" w:lineRule="exact"/>
        <w:ind w:firstLine="640" w:firstLineChars="200"/>
        <w:jc w:val="center"/>
        <w:rPr>
          <w:rFonts w:hint="eastAsia" w:ascii="仿宋_GB2312" w:eastAsia="仿宋_GB2312"/>
          <w:sz w:val="32"/>
          <w:szCs w:val="32"/>
        </w:rPr>
      </w:pPr>
      <w:r>
        <w:rPr>
          <w:rFonts w:hint="eastAsia" w:ascii="仿宋_GB2312" w:eastAsia="仿宋_GB2312"/>
          <w:sz w:val="32"/>
          <w:szCs w:val="32"/>
        </w:rPr>
        <w:t xml:space="preserve">                   岳阳市云溪区人民政府办公室</w:t>
      </w:r>
    </w:p>
    <w:p>
      <w:pPr>
        <w:spacing w:line="600" w:lineRule="exact"/>
        <w:ind w:right="1260" w:rightChars="600" w:firstLine="640" w:firstLineChars="200"/>
        <w:jc w:val="right"/>
        <w:rPr>
          <w:rFonts w:hint="eastAsia" w:ascii="仿宋_GB2312" w:eastAsia="仿宋_GB2312"/>
        </w:rPr>
      </w:pPr>
      <w:r>
        <w:rPr>
          <w:rFonts w:hint="eastAsia" w:ascii="仿宋_GB2312" w:eastAsia="仿宋_GB2312"/>
          <w:sz w:val="32"/>
          <w:szCs w:val="32"/>
        </w:rPr>
        <w:t>2024年9月20日</w:t>
      </w:r>
    </w:p>
    <w:p>
      <w:pPr>
        <w:spacing w:line="600" w:lineRule="exact"/>
        <w:rPr>
          <w:rFonts w:hint="eastAsia" w:ascii="仿宋_GB2312" w:eastAsia="仿宋_GB2312"/>
        </w:rPr>
      </w:pPr>
    </w:p>
    <w:p>
      <w:pPr>
        <w:spacing w:line="600" w:lineRule="exact"/>
        <w:rPr>
          <w:rFonts w:hint="eastAsia" w:ascii="仿宋_GB2312" w:eastAsia="仿宋_GB2312"/>
        </w:rPr>
      </w:pPr>
    </w:p>
    <w:p>
      <w:pPr>
        <w:spacing w:line="600" w:lineRule="exact"/>
        <w:rPr>
          <w:rFonts w:hint="eastAsia" w:ascii="仿宋_GB2312" w:eastAsia="仿宋_GB2312"/>
        </w:rPr>
      </w:pPr>
    </w:p>
    <w:p>
      <w:pPr>
        <w:spacing w:line="600" w:lineRule="exact"/>
        <w:rPr>
          <w:rFonts w:hint="eastAsia" w:ascii="仿宋_GB2312" w:eastAsia="仿宋_GB2312"/>
        </w:rPr>
      </w:pPr>
    </w:p>
    <w:p>
      <w:pPr>
        <w:spacing w:line="600" w:lineRule="exact"/>
        <w:rPr>
          <w:rFonts w:hint="eastAsia" w:ascii="仿宋_GB2312" w:eastAsia="仿宋_GB2312"/>
        </w:rPr>
      </w:pPr>
    </w:p>
    <w:p>
      <w:pPr>
        <w:spacing w:line="600" w:lineRule="exact"/>
        <w:rPr>
          <w:rFonts w:hint="eastAsia" w:ascii="仿宋_GB2312" w:eastAsia="仿宋_GB2312"/>
        </w:rPr>
      </w:pPr>
    </w:p>
    <w:p>
      <w:pPr>
        <w:spacing w:line="600" w:lineRule="exact"/>
        <w:rPr>
          <w:rFonts w:hint="eastAsia" w:ascii="仿宋_GB2312" w:eastAsia="仿宋_GB2312"/>
        </w:rPr>
      </w:pPr>
    </w:p>
    <w:p>
      <w:pPr>
        <w:spacing w:line="600" w:lineRule="exact"/>
        <w:rPr>
          <w:rFonts w:hint="eastAsia" w:ascii="仿宋_GB2312" w:eastAsia="仿宋_GB2312"/>
        </w:rPr>
        <w:sectPr>
          <w:footerReference r:id="rId12" w:type="default"/>
          <w:footerReference r:id="rId13" w:type="even"/>
          <w:pgSz w:w="11906" w:h="16838"/>
          <w:pgMar w:top="1531" w:right="1531" w:bottom="1531" w:left="1531" w:header="851" w:footer="1247" w:gutter="0"/>
          <w:cols w:space="720" w:num="1"/>
          <w:titlePg/>
          <w:docGrid w:type="lines" w:linePitch="312" w:charSpace="0"/>
        </w:sectPr>
      </w:pPr>
    </w:p>
    <w:p>
      <w:pPr>
        <w:spacing w:after="156" w:afterLines="50"/>
        <w:jc w:val="center"/>
        <w:rPr>
          <w:rFonts w:hint="eastAsia" w:ascii="方正小标宋简体" w:eastAsia="方正小标宋简体"/>
          <w:sz w:val="44"/>
          <w:szCs w:val="44"/>
        </w:rPr>
      </w:pPr>
      <w:r>
        <w:rPr>
          <w:rFonts w:hint="eastAsia" w:ascii="方正小标宋简体" w:eastAsia="方正小标宋简体"/>
          <w:sz w:val="44"/>
          <w:szCs w:val="44"/>
        </w:rPr>
        <w:t>云溪区贯彻落实2024年省政府大抓落实工作激励措施二十条任务分解</w:t>
      </w:r>
    </w:p>
    <w:tbl>
      <w:tblPr>
        <w:tblStyle w:val="13"/>
        <w:tblW w:w="14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7098"/>
        <w:gridCol w:w="279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1094" w:type="dxa"/>
            <w:noWrap w:val="0"/>
            <w:vAlign w:val="center"/>
          </w:tcPr>
          <w:p>
            <w:pPr>
              <w:jc w:val="center"/>
              <w:rPr>
                <w:rFonts w:hint="eastAsia" w:ascii="黑体" w:hAnsi="黑体" w:eastAsia="黑体"/>
                <w:sz w:val="24"/>
              </w:rPr>
            </w:pPr>
            <w:r>
              <w:rPr>
                <w:rFonts w:hint="eastAsia" w:ascii="黑体" w:hAnsi="黑体" w:eastAsia="黑体"/>
                <w:sz w:val="24"/>
              </w:rPr>
              <w:t>序号</w:t>
            </w:r>
          </w:p>
        </w:tc>
        <w:tc>
          <w:tcPr>
            <w:tcW w:w="7098" w:type="dxa"/>
            <w:noWrap w:val="0"/>
            <w:vAlign w:val="center"/>
          </w:tcPr>
          <w:p>
            <w:pPr>
              <w:jc w:val="center"/>
              <w:rPr>
                <w:rFonts w:hint="eastAsia" w:ascii="黑体" w:hAnsi="黑体" w:eastAsia="黑体"/>
                <w:sz w:val="24"/>
              </w:rPr>
            </w:pPr>
            <w:r>
              <w:rPr>
                <w:rFonts w:hint="eastAsia" w:ascii="黑体" w:hAnsi="黑体" w:eastAsia="黑体"/>
                <w:sz w:val="24"/>
              </w:rPr>
              <w:t>省政府大抓落实工作激励措施</w:t>
            </w:r>
          </w:p>
        </w:tc>
        <w:tc>
          <w:tcPr>
            <w:tcW w:w="2799" w:type="dxa"/>
            <w:noWrap w:val="0"/>
            <w:vAlign w:val="center"/>
          </w:tcPr>
          <w:p>
            <w:pPr>
              <w:jc w:val="center"/>
              <w:rPr>
                <w:rFonts w:hint="eastAsia" w:ascii="黑体" w:hAnsi="黑体" w:eastAsia="黑体"/>
                <w:sz w:val="24"/>
              </w:rPr>
            </w:pPr>
            <w:r>
              <w:rPr>
                <w:rFonts w:hint="eastAsia" w:ascii="黑体" w:hAnsi="黑体" w:eastAsia="黑体"/>
                <w:sz w:val="24"/>
              </w:rPr>
              <w:t>牵头责任单位</w:t>
            </w:r>
          </w:p>
        </w:tc>
        <w:tc>
          <w:tcPr>
            <w:tcW w:w="3014" w:type="dxa"/>
            <w:noWrap w:val="0"/>
            <w:vAlign w:val="center"/>
          </w:tcPr>
          <w:p>
            <w:pPr>
              <w:jc w:val="center"/>
              <w:rPr>
                <w:rFonts w:hint="eastAsia" w:ascii="黑体" w:hAnsi="黑体" w:eastAsia="黑体"/>
                <w:sz w:val="24"/>
              </w:rPr>
            </w:pPr>
            <w:r>
              <w:rPr>
                <w:rFonts w:hint="eastAsia" w:ascii="黑体" w:hAnsi="黑体" w:eastAsia="黑体"/>
                <w:sz w:val="24"/>
              </w:rPr>
              <w:t>相关责任单位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1</w:t>
            </w:r>
          </w:p>
        </w:tc>
        <w:tc>
          <w:tcPr>
            <w:tcW w:w="7098" w:type="dxa"/>
            <w:noWrap w:val="0"/>
            <w:vAlign w:val="center"/>
          </w:tcPr>
          <w:p>
            <w:pPr>
              <w:rPr>
                <w:rFonts w:hint="eastAsia" w:ascii="仿宋_GB2312" w:eastAsia="仿宋_GB2312"/>
                <w:sz w:val="24"/>
              </w:rPr>
            </w:pPr>
            <w:r>
              <w:rPr>
                <w:rFonts w:hint="eastAsia" w:ascii="仿宋_GB2312" w:eastAsia="仿宋_GB2312"/>
                <w:sz w:val="24"/>
              </w:rPr>
              <w:t>对推动高质量发展成效明显的县市区，予以资金奖励。（牵头单位：省发展改革委）</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区发改局</w:t>
            </w:r>
          </w:p>
        </w:tc>
        <w:tc>
          <w:tcPr>
            <w:tcW w:w="3014" w:type="dxa"/>
            <w:noWrap w:val="0"/>
            <w:vAlign w:val="center"/>
          </w:tcPr>
          <w:p>
            <w:pPr>
              <w:spacing w:line="300" w:lineRule="exact"/>
              <w:jc w:val="center"/>
              <w:rPr>
                <w:rFonts w:hint="eastAsia" w:ascii="仿宋_GB2312" w:eastAsia="仿宋_GB2312"/>
                <w:sz w:val="24"/>
              </w:rPr>
            </w:pPr>
            <w:r>
              <w:rPr>
                <w:rFonts w:hint="eastAsia" w:ascii="仿宋_GB2312" w:eastAsia="仿宋_GB2312"/>
                <w:sz w:val="24"/>
              </w:rPr>
              <w:t>区科工局</w:t>
            </w:r>
          </w:p>
          <w:p>
            <w:pPr>
              <w:spacing w:line="300" w:lineRule="exact"/>
              <w:jc w:val="center"/>
              <w:rPr>
                <w:rFonts w:hint="eastAsia" w:ascii="仿宋_GB2312" w:eastAsia="仿宋_GB2312"/>
                <w:sz w:val="24"/>
              </w:rPr>
            </w:pPr>
            <w:r>
              <w:rPr>
                <w:rFonts w:hint="eastAsia" w:ascii="仿宋_GB2312" w:eastAsia="仿宋_GB2312"/>
                <w:sz w:val="24"/>
              </w:rPr>
              <w:t>区财政局</w:t>
            </w:r>
          </w:p>
          <w:p>
            <w:pPr>
              <w:spacing w:line="300" w:lineRule="exact"/>
              <w:jc w:val="center"/>
              <w:rPr>
                <w:rFonts w:hint="eastAsia" w:ascii="仿宋_GB2312" w:eastAsia="仿宋_GB2312"/>
                <w:sz w:val="24"/>
              </w:rPr>
            </w:pPr>
            <w:r>
              <w:rPr>
                <w:rFonts w:hint="eastAsia" w:ascii="仿宋_GB2312" w:eastAsia="仿宋_GB2312"/>
                <w:sz w:val="24"/>
              </w:rPr>
              <w:t>区人社局</w:t>
            </w:r>
          </w:p>
          <w:p>
            <w:pPr>
              <w:spacing w:line="300" w:lineRule="exact"/>
              <w:jc w:val="center"/>
              <w:rPr>
                <w:rFonts w:hint="eastAsia" w:ascii="仿宋_GB2312" w:eastAsia="仿宋_GB2312"/>
                <w:sz w:val="24"/>
              </w:rPr>
            </w:pPr>
            <w:r>
              <w:rPr>
                <w:rFonts w:hint="eastAsia" w:ascii="仿宋_GB2312" w:eastAsia="仿宋_GB2312"/>
                <w:sz w:val="24"/>
              </w:rPr>
              <w:t>区商粮局</w:t>
            </w:r>
          </w:p>
          <w:p>
            <w:pPr>
              <w:spacing w:line="300" w:lineRule="exact"/>
              <w:jc w:val="center"/>
              <w:rPr>
                <w:rFonts w:hint="eastAsia" w:ascii="仿宋_GB2312" w:eastAsia="仿宋_GB2312"/>
                <w:sz w:val="24"/>
              </w:rPr>
            </w:pPr>
            <w:r>
              <w:rPr>
                <w:rFonts w:hint="eastAsia" w:ascii="仿宋_GB2312" w:eastAsia="仿宋_GB2312"/>
                <w:sz w:val="24"/>
              </w:rPr>
              <w:t>生态环境分局</w:t>
            </w:r>
          </w:p>
          <w:p>
            <w:pPr>
              <w:spacing w:line="300" w:lineRule="exact"/>
              <w:jc w:val="center"/>
              <w:rPr>
                <w:rFonts w:hint="eastAsia" w:ascii="仿宋_GB2312" w:eastAsia="仿宋_GB2312"/>
                <w:sz w:val="24"/>
              </w:rPr>
            </w:pPr>
            <w:r>
              <w:rPr>
                <w:rFonts w:hint="eastAsia" w:ascii="仿宋_GB2312" w:eastAsia="仿宋_GB2312"/>
                <w:sz w:val="24"/>
              </w:rPr>
              <w:t>绿色化工高新区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2</w:t>
            </w:r>
          </w:p>
        </w:tc>
        <w:tc>
          <w:tcPr>
            <w:tcW w:w="7098" w:type="dxa"/>
            <w:noWrap w:val="0"/>
            <w:vAlign w:val="center"/>
          </w:tcPr>
          <w:p>
            <w:pPr>
              <w:rPr>
                <w:rFonts w:hint="eastAsia" w:ascii="仿宋_GB2312" w:eastAsia="仿宋_GB2312"/>
                <w:sz w:val="24"/>
              </w:rPr>
            </w:pPr>
            <w:r>
              <w:rPr>
                <w:rFonts w:hint="eastAsia" w:ascii="仿宋_GB2312" w:eastAsia="仿宋_GB2312"/>
                <w:sz w:val="24"/>
              </w:rPr>
              <w:t>对实施产业培塑行动，加快建设“4×4”现代化产业体系、实施“重点产业倍增计划”、推进以“十大产业项目”为标志的产业投资、培育主导产业成效明显的市州、县市区，在省预算内基本建设投资中予以资金奖励。（牵头单位：省发展改革委）</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区发改局</w:t>
            </w:r>
          </w:p>
        </w:tc>
        <w:tc>
          <w:tcPr>
            <w:tcW w:w="3014" w:type="dxa"/>
            <w:noWrap w:val="0"/>
            <w:vAlign w:val="center"/>
          </w:tcPr>
          <w:p>
            <w:pPr>
              <w:spacing w:line="300" w:lineRule="exact"/>
              <w:jc w:val="center"/>
              <w:rPr>
                <w:rFonts w:hint="eastAsia" w:ascii="仿宋_GB2312" w:eastAsia="仿宋_GB2312"/>
                <w:sz w:val="24"/>
              </w:rPr>
            </w:pPr>
            <w:r>
              <w:rPr>
                <w:rFonts w:hint="eastAsia" w:ascii="仿宋_GB2312" w:eastAsia="仿宋_GB2312"/>
                <w:sz w:val="24"/>
              </w:rPr>
              <w:t>区科工局</w:t>
            </w:r>
          </w:p>
          <w:p>
            <w:pPr>
              <w:spacing w:line="300" w:lineRule="exact"/>
              <w:jc w:val="center"/>
              <w:rPr>
                <w:rFonts w:hint="eastAsia" w:ascii="仿宋_GB2312" w:eastAsia="仿宋_GB2312"/>
                <w:sz w:val="24"/>
              </w:rPr>
            </w:pPr>
            <w:r>
              <w:rPr>
                <w:rFonts w:hint="eastAsia" w:ascii="仿宋_GB2312" w:eastAsia="仿宋_GB2312"/>
                <w:sz w:val="24"/>
              </w:rPr>
              <w:t>区农业农村局</w:t>
            </w:r>
          </w:p>
          <w:p>
            <w:pPr>
              <w:spacing w:line="300" w:lineRule="exact"/>
              <w:jc w:val="center"/>
              <w:rPr>
                <w:rFonts w:hint="eastAsia" w:ascii="仿宋_GB2312" w:eastAsia="仿宋_GB2312"/>
                <w:sz w:val="24"/>
              </w:rPr>
            </w:pPr>
            <w:r>
              <w:rPr>
                <w:rFonts w:hint="eastAsia" w:ascii="仿宋_GB2312" w:eastAsia="仿宋_GB2312"/>
                <w:sz w:val="24"/>
              </w:rPr>
              <w:t>区商粮局</w:t>
            </w:r>
          </w:p>
          <w:p>
            <w:pPr>
              <w:spacing w:line="300" w:lineRule="exact"/>
              <w:jc w:val="center"/>
              <w:rPr>
                <w:rFonts w:hint="eastAsia" w:ascii="仿宋_GB2312" w:eastAsia="仿宋_GB2312"/>
                <w:sz w:val="24"/>
              </w:rPr>
            </w:pPr>
            <w:r>
              <w:rPr>
                <w:rFonts w:hint="eastAsia" w:ascii="仿宋_GB2312" w:eastAsia="仿宋_GB2312"/>
                <w:sz w:val="24"/>
              </w:rPr>
              <w:t>区文旅广电局</w:t>
            </w:r>
          </w:p>
          <w:p>
            <w:pPr>
              <w:spacing w:line="300" w:lineRule="exact"/>
              <w:jc w:val="center"/>
              <w:rPr>
                <w:rFonts w:hint="eastAsia" w:ascii="仿宋_GB2312" w:eastAsia="仿宋_GB2312"/>
                <w:sz w:val="24"/>
              </w:rPr>
            </w:pPr>
            <w:r>
              <w:rPr>
                <w:rFonts w:hint="eastAsia" w:ascii="仿宋_GB2312" w:eastAsia="仿宋_GB2312"/>
                <w:sz w:val="24"/>
              </w:rPr>
              <w:t>区卫健局</w:t>
            </w:r>
          </w:p>
          <w:p>
            <w:pPr>
              <w:spacing w:line="300" w:lineRule="exact"/>
              <w:jc w:val="center"/>
              <w:rPr>
                <w:rFonts w:hint="eastAsia" w:ascii="仿宋_GB2312" w:eastAsia="仿宋_GB2312"/>
                <w:sz w:val="24"/>
              </w:rPr>
            </w:pPr>
            <w:r>
              <w:rPr>
                <w:rFonts w:hint="eastAsia" w:ascii="仿宋_GB2312" w:eastAsia="仿宋_GB2312"/>
                <w:sz w:val="24"/>
              </w:rPr>
              <w:t>区物流发展服务中心</w:t>
            </w:r>
          </w:p>
          <w:p>
            <w:pPr>
              <w:spacing w:line="300" w:lineRule="exact"/>
              <w:jc w:val="center"/>
              <w:rPr>
                <w:rFonts w:hint="eastAsia" w:ascii="仿宋_GB2312" w:eastAsia="仿宋_GB2312"/>
                <w:sz w:val="24"/>
              </w:rPr>
            </w:pPr>
            <w:r>
              <w:rPr>
                <w:rFonts w:hint="eastAsia" w:ascii="仿宋_GB2312" w:eastAsia="仿宋_GB2312"/>
                <w:sz w:val="24"/>
              </w:rPr>
              <w:t>绿色化工高新区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3</w:t>
            </w:r>
          </w:p>
        </w:tc>
        <w:tc>
          <w:tcPr>
            <w:tcW w:w="7098" w:type="dxa"/>
            <w:noWrap w:val="0"/>
            <w:vAlign w:val="center"/>
          </w:tcPr>
          <w:p>
            <w:pPr>
              <w:spacing w:line="300" w:lineRule="exact"/>
              <w:rPr>
                <w:rFonts w:hint="eastAsia" w:ascii="仿宋_GB2312" w:eastAsia="仿宋_GB2312"/>
                <w:sz w:val="24"/>
              </w:rPr>
            </w:pPr>
            <w:r>
              <w:rPr>
                <w:rFonts w:hint="eastAsia" w:ascii="仿宋_GB2312" w:eastAsia="仿宋_GB2312"/>
                <w:sz w:val="24"/>
              </w:rPr>
              <w:t>对打造国家重要先进制造业高地，稳定工业经济增长、促进制造业提质增效、打造先进制造业集群、稳定工业投资推进制造业重点项目建设等成效明显的市州、县市区，在相关专项资金、试点安排中予以奖励支持。（牵头单位：省工业和信息化厅）</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区科工局</w:t>
            </w:r>
          </w:p>
        </w:tc>
        <w:tc>
          <w:tcPr>
            <w:tcW w:w="3014" w:type="dxa"/>
            <w:noWrap w:val="0"/>
            <w:vAlign w:val="center"/>
          </w:tcPr>
          <w:p>
            <w:pPr>
              <w:spacing w:line="300" w:lineRule="exact"/>
              <w:jc w:val="center"/>
              <w:rPr>
                <w:rFonts w:hint="eastAsia" w:ascii="仿宋_GB2312" w:eastAsia="仿宋_GB2312"/>
                <w:sz w:val="24"/>
              </w:rPr>
            </w:pPr>
            <w:r>
              <w:rPr>
                <w:rFonts w:hint="eastAsia" w:ascii="仿宋_GB2312" w:eastAsia="仿宋_GB2312"/>
                <w:sz w:val="24"/>
              </w:rPr>
              <w:t>区发改局</w:t>
            </w:r>
          </w:p>
          <w:p>
            <w:pPr>
              <w:spacing w:line="300" w:lineRule="exact"/>
              <w:jc w:val="center"/>
              <w:rPr>
                <w:rFonts w:hint="eastAsia" w:ascii="仿宋_GB2312" w:eastAsia="仿宋_GB2312"/>
                <w:sz w:val="24"/>
              </w:rPr>
            </w:pPr>
            <w:r>
              <w:rPr>
                <w:rFonts w:hint="eastAsia" w:ascii="仿宋_GB2312" w:eastAsia="仿宋_GB2312"/>
                <w:sz w:val="24"/>
              </w:rPr>
              <w:t>区财政局</w:t>
            </w:r>
          </w:p>
          <w:p>
            <w:pPr>
              <w:spacing w:line="300" w:lineRule="exact"/>
              <w:jc w:val="center"/>
              <w:rPr>
                <w:rFonts w:hint="eastAsia" w:ascii="仿宋_GB2312" w:eastAsia="仿宋_GB2312"/>
                <w:sz w:val="24"/>
              </w:rPr>
            </w:pPr>
            <w:r>
              <w:rPr>
                <w:rFonts w:hint="eastAsia" w:ascii="仿宋_GB2312" w:eastAsia="仿宋_GB2312"/>
                <w:sz w:val="24"/>
              </w:rPr>
              <w:t>税务局</w:t>
            </w:r>
          </w:p>
          <w:p>
            <w:pPr>
              <w:spacing w:line="300" w:lineRule="exact"/>
              <w:jc w:val="center"/>
              <w:rPr>
                <w:rFonts w:hint="eastAsia" w:ascii="仿宋_GB2312" w:eastAsia="仿宋_GB2312"/>
                <w:sz w:val="24"/>
              </w:rPr>
            </w:pPr>
            <w:r>
              <w:rPr>
                <w:rFonts w:hint="eastAsia" w:ascii="仿宋_GB2312" w:eastAsia="仿宋_GB2312"/>
                <w:sz w:val="24"/>
              </w:rPr>
              <w:t>绿色化工高新区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4</w:t>
            </w:r>
          </w:p>
        </w:tc>
        <w:tc>
          <w:tcPr>
            <w:tcW w:w="7098" w:type="dxa"/>
            <w:noWrap w:val="0"/>
            <w:vAlign w:val="center"/>
          </w:tcPr>
          <w:p>
            <w:pPr>
              <w:spacing w:line="300" w:lineRule="exact"/>
              <w:rPr>
                <w:rFonts w:hint="eastAsia" w:ascii="仿宋_GB2312" w:eastAsia="仿宋_GB2312"/>
                <w:sz w:val="24"/>
              </w:rPr>
            </w:pPr>
            <w:r>
              <w:rPr>
                <w:rFonts w:hint="eastAsia" w:ascii="仿宋_GB2312" w:eastAsia="仿宋_GB2312"/>
                <w:sz w:val="24"/>
              </w:rPr>
              <w:t>对推动工业化、信息化“两化融合”，先进制造业、现代服务业“两业共融”，加快实施“智赋万企”行动等成效明显的市州、县市区，在相关专项资金、试点安排中予以奖励支持。（牵头单位：省工业和信息化厅）</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区科工局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区发改局</w:t>
            </w:r>
          </w:p>
          <w:p>
            <w:pPr>
              <w:jc w:val="center"/>
              <w:rPr>
                <w:rFonts w:hint="eastAsia" w:ascii="仿宋_GB2312" w:eastAsia="仿宋_GB2312"/>
                <w:sz w:val="24"/>
              </w:rPr>
            </w:pPr>
            <w:r>
              <w:rPr>
                <w:rFonts w:hint="eastAsia" w:ascii="仿宋_GB2312" w:eastAsia="仿宋_GB2312"/>
                <w:sz w:val="24"/>
              </w:rPr>
              <w:t>绿色化工高新区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5</w:t>
            </w:r>
          </w:p>
        </w:tc>
        <w:tc>
          <w:tcPr>
            <w:tcW w:w="7098" w:type="dxa"/>
            <w:noWrap w:val="0"/>
            <w:vAlign w:val="center"/>
          </w:tcPr>
          <w:p>
            <w:pPr>
              <w:rPr>
                <w:rFonts w:hint="eastAsia" w:ascii="仿宋_GB2312" w:eastAsia="仿宋_GB2312"/>
                <w:sz w:val="24"/>
              </w:rPr>
            </w:pPr>
            <w:r>
              <w:rPr>
                <w:rFonts w:hint="eastAsia" w:ascii="仿宋_GB2312" w:eastAsia="仿宋_GB2312"/>
                <w:sz w:val="24"/>
              </w:rPr>
              <w:t>对推进乡村全面振兴，学习运用“千万工程”经验、发展现代农业产业、抓好粮食生产、加强农田水利基础设施建设等成效明显的市州、县市区，在相关专项资金、项目安排中予以奖励支持。（牵头单位：省农业农村厅）</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区农业农村局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各镇（街道）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6</w:t>
            </w:r>
          </w:p>
        </w:tc>
        <w:tc>
          <w:tcPr>
            <w:tcW w:w="7098" w:type="dxa"/>
            <w:noWrap w:val="0"/>
            <w:vAlign w:val="center"/>
          </w:tcPr>
          <w:p>
            <w:pPr>
              <w:rPr>
                <w:rFonts w:hint="eastAsia" w:ascii="仿宋_GB2312" w:eastAsia="仿宋_GB2312"/>
                <w:sz w:val="24"/>
              </w:rPr>
            </w:pPr>
            <w:r>
              <w:rPr>
                <w:rFonts w:hint="eastAsia" w:ascii="仿宋_GB2312" w:eastAsia="仿宋_GB2312"/>
                <w:sz w:val="24"/>
              </w:rPr>
              <w:t>对增强文化软实力，以文化人、以文创业、以文兴乡、以文塑旅，发展文化事业和文旅产业，推进文化和旅游深度融合，探索文化和科技融合等成效明显的市州、县市区，在相关专项资金、项目安排中予以奖励支持。（牵头单位：省文化和旅游厅）</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区文旅广电局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各镇（街道）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7</w:t>
            </w:r>
          </w:p>
        </w:tc>
        <w:tc>
          <w:tcPr>
            <w:tcW w:w="7098" w:type="dxa"/>
            <w:noWrap w:val="0"/>
            <w:vAlign w:val="center"/>
          </w:tcPr>
          <w:p>
            <w:pPr>
              <w:rPr>
                <w:rFonts w:hint="eastAsia" w:ascii="仿宋_GB2312" w:eastAsia="仿宋_GB2312"/>
                <w:sz w:val="24"/>
              </w:rPr>
            </w:pPr>
            <w:r>
              <w:rPr>
                <w:rFonts w:hint="eastAsia" w:ascii="仿宋_GB2312" w:eastAsia="仿宋_GB2312"/>
                <w:sz w:val="24"/>
              </w:rPr>
              <w:t>对打造具有核心竞争力的科技创新高地，实施创新提升行动，推进标志性工程提速、平台能级提档、科研攻关提能、人才支撑提质、成果转化提效、创新生态提优以及“十大技术攻关项目”“湘智兴湘”等成效明显的市州、县市区，在创新型省份建设专项资金中予以奖励。</w:t>
            </w:r>
          </w:p>
          <w:p>
            <w:pPr>
              <w:rPr>
                <w:rFonts w:hint="eastAsia" w:ascii="仿宋_GB2312" w:eastAsia="仿宋_GB2312"/>
                <w:sz w:val="24"/>
              </w:rPr>
            </w:pPr>
            <w:r>
              <w:rPr>
                <w:rFonts w:hint="eastAsia" w:ascii="仿宋_GB2312" w:eastAsia="仿宋_GB2312"/>
                <w:sz w:val="24"/>
              </w:rPr>
              <w:t>（牵头单位：省科技厅）</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区科工局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区教体局</w:t>
            </w:r>
          </w:p>
          <w:p>
            <w:pPr>
              <w:jc w:val="center"/>
              <w:rPr>
                <w:rFonts w:hint="eastAsia" w:ascii="仿宋_GB2312" w:eastAsia="仿宋_GB2312"/>
                <w:sz w:val="24"/>
              </w:rPr>
            </w:pPr>
            <w:r>
              <w:rPr>
                <w:rFonts w:hint="eastAsia" w:ascii="仿宋_GB2312" w:eastAsia="仿宋_GB2312"/>
                <w:sz w:val="24"/>
              </w:rPr>
              <w:t>区财政局</w:t>
            </w:r>
          </w:p>
          <w:p>
            <w:pPr>
              <w:jc w:val="center"/>
              <w:rPr>
                <w:rFonts w:hint="eastAsia" w:ascii="仿宋_GB2312" w:eastAsia="仿宋_GB2312"/>
                <w:sz w:val="24"/>
              </w:rPr>
            </w:pPr>
            <w:r>
              <w:rPr>
                <w:rFonts w:hint="eastAsia" w:ascii="仿宋_GB2312" w:eastAsia="仿宋_GB2312"/>
                <w:sz w:val="24"/>
              </w:rPr>
              <w:t>区商粮局</w:t>
            </w:r>
          </w:p>
          <w:p>
            <w:pPr>
              <w:jc w:val="center"/>
              <w:rPr>
                <w:rFonts w:hint="eastAsia" w:ascii="仿宋_GB2312" w:eastAsia="仿宋_GB2312"/>
                <w:sz w:val="24"/>
              </w:rPr>
            </w:pPr>
            <w:r>
              <w:rPr>
                <w:rFonts w:hint="eastAsia" w:ascii="仿宋_GB2312" w:eastAsia="仿宋_GB2312"/>
                <w:sz w:val="24"/>
              </w:rPr>
              <w:t>区市场监管局</w:t>
            </w:r>
          </w:p>
          <w:p>
            <w:pPr>
              <w:jc w:val="center"/>
              <w:rPr>
                <w:rFonts w:hint="eastAsia" w:ascii="仿宋_GB2312" w:eastAsia="仿宋_GB2312"/>
                <w:sz w:val="24"/>
              </w:rPr>
            </w:pPr>
            <w:r>
              <w:rPr>
                <w:rFonts w:hint="eastAsia" w:ascii="仿宋_GB2312" w:eastAsia="仿宋_GB2312"/>
                <w:sz w:val="24"/>
              </w:rPr>
              <w:t>税务局</w:t>
            </w:r>
          </w:p>
          <w:p>
            <w:pPr>
              <w:jc w:val="center"/>
              <w:rPr>
                <w:rFonts w:hint="eastAsia" w:ascii="仿宋_GB2312" w:eastAsia="仿宋_GB2312"/>
                <w:sz w:val="24"/>
              </w:rPr>
            </w:pPr>
            <w:r>
              <w:rPr>
                <w:rFonts w:hint="eastAsia" w:ascii="仿宋_GB2312" w:eastAsia="仿宋_GB2312"/>
                <w:sz w:val="24"/>
              </w:rPr>
              <w:t>绿色化工高新区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8</w:t>
            </w:r>
          </w:p>
        </w:tc>
        <w:tc>
          <w:tcPr>
            <w:tcW w:w="7098" w:type="dxa"/>
            <w:noWrap w:val="0"/>
            <w:vAlign w:val="center"/>
          </w:tcPr>
          <w:p>
            <w:pPr>
              <w:rPr>
                <w:rFonts w:hint="eastAsia" w:ascii="仿宋_GB2312" w:eastAsia="仿宋_GB2312"/>
                <w:sz w:val="24"/>
              </w:rPr>
            </w:pPr>
            <w:r>
              <w:rPr>
                <w:rFonts w:hint="eastAsia" w:ascii="仿宋_GB2312" w:eastAsia="仿宋_GB2312"/>
                <w:sz w:val="24"/>
              </w:rPr>
              <w:t>对打造内陆地区改革开放高地，推进稳外贸、稳外资、稳外经、自贸试验区建设、中非经贸合作以及“湘商回归”“校友回湘”等成效明显的市州、县市区，在相关专项资金、试点安排中予以奖励支持。（牵头单位：省商务厅）</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区商粮局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区教体局</w:t>
            </w:r>
          </w:p>
          <w:p>
            <w:pPr>
              <w:jc w:val="center"/>
              <w:rPr>
                <w:rFonts w:hint="eastAsia" w:ascii="仿宋_GB2312" w:eastAsia="仿宋_GB2312"/>
                <w:sz w:val="24"/>
              </w:rPr>
            </w:pPr>
            <w:r>
              <w:rPr>
                <w:rFonts w:hint="eastAsia" w:ascii="仿宋_GB2312" w:eastAsia="仿宋_GB2312"/>
                <w:sz w:val="24"/>
              </w:rPr>
              <w:t>区市场监管局</w:t>
            </w:r>
          </w:p>
          <w:p>
            <w:pPr>
              <w:jc w:val="center"/>
              <w:rPr>
                <w:rFonts w:hint="eastAsia" w:ascii="仿宋_GB2312" w:eastAsia="仿宋_GB2312"/>
                <w:sz w:val="24"/>
              </w:rPr>
            </w:pPr>
            <w:r>
              <w:rPr>
                <w:rFonts w:hint="eastAsia" w:ascii="仿宋_GB2312" w:eastAsia="仿宋_GB2312"/>
                <w:sz w:val="24"/>
              </w:rPr>
              <w:t>税务局</w:t>
            </w:r>
          </w:p>
          <w:p>
            <w:pPr>
              <w:jc w:val="center"/>
              <w:rPr>
                <w:rFonts w:hint="eastAsia" w:ascii="仿宋_GB2312" w:eastAsia="仿宋_GB2312"/>
                <w:sz w:val="24"/>
              </w:rPr>
            </w:pPr>
            <w:r>
              <w:rPr>
                <w:rFonts w:hint="eastAsia" w:ascii="仿宋_GB2312" w:eastAsia="仿宋_GB2312"/>
                <w:sz w:val="24"/>
              </w:rPr>
              <w:t>绿色化工高新区</w:t>
            </w:r>
          </w:p>
          <w:p>
            <w:pPr>
              <w:jc w:val="center"/>
              <w:rPr>
                <w:rFonts w:hint="eastAsia" w:ascii="仿宋_GB2312" w:eastAsia="仿宋_GB2312"/>
                <w:sz w:val="24"/>
              </w:rPr>
            </w:pPr>
            <w:r>
              <w:rPr>
                <w:rFonts w:hint="eastAsia" w:ascii="仿宋_GB2312" w:eastAsia="仿宋_GB2312"/>
                <w:sz w:val="24"/>
              </w:rPr>
              <w:t>各镇（街道）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094" w:type="dxa"/>
            <w:noWrap w:val="0"/>
            <w:vAlign w:val="center"/>
          </w:tcPr>
          <w:p>
            <w:pPr>
              <w:jc w:val="center"/>
              <w:rPr>
                <w:rFonts w:hint="eastAsia" w:ascii="仿宋_GB2312" w:eastAsia="仿宋_GB2312"/>
                <w:sz w:val="24"/>
              </w:rPr>
            </w:pPr>
            <w:r>
              <w:rPr>
                <w:rFonts w:hint="eastAsia" w:ascii="仿宋_GB2312" w:eastAsia="仿宋_GB2312"/>
                <w:sz w:val="24"/>
              </w:rPr>
              <w:t>9</w:t>
            </w:r>
          </w:p>
        </w:tc>
        <w:tc>
          <w:tcPr>
            <w:tcW w:w="7098" w:type="dxa"/>
            <w:noWrap w:val="0"/>
            <w:vAlign w:val="center"/>
          </w:tcPr>
          <w:p>
            <w:pPr>
              <w:rPr>
                <w:rFonts w:hint="eastAsia" w:ascii="仿宋_GB2312" w:eastAsia="仿宋_GB2312"/>
                <w:sz w:val="24"/>
              </w:rPr>
            </w:pPr>
            <w:r>
              <w:rPr>
                <w:rFonts w:hint="eastAsia" w:ascii="仿宋_GB2312" w:eastAsia="仿宋_GB2312"/>
                <w:sz w:val="24"/>
              </w:rPr>
              <w:t>对实施改革攻坚行动、打造“三化”一流营商环境成效明显的市州、县市区，在省预算内基本建设投资中予以资金奖励。（牵头单位：省发展改革委）</w:t>
            </w:r>
          </w:p>
        </w:tc>
        <w:tc>
          <w:tcPr>
            <w:tcW w:w="2799" w:type="dxa"/>
            <w:noWrap w:val="0"/>
            <w:vAlign w:val="center"/>
          </w:tcPr>
          <w:p>
            <w:pPr>
              <w:jc w:val="center"/>
              <w:rPr>
                <w:rFonts w:hint="eastAsia" w:ascii="仿宋_GB2312" w:eastAsia="仿宋_GB2312"/>
                <w:sz w:val="24"/>
                <w:szCs w:val="28"/>
              </w:rPr>
            </w:pPr>
            <w:r>
              <w:rPr>
                <w:rFonts w:hint="eastAsia" w:ascii="仿宋_GB2312" w:eastAsia="仿宋_GB2312"/>
                <w:sz w:val="24"/>
              </w:rPr>
              <w:t>区优化办</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区工商联</w:t>
            </w:r>
          </w:p>
          <w:p>
            <w:pPr>
              <w:jc w:val="center"/>
              <w:rPr>
                <w:rFonts w:hint="eastAsia" w:ascii="仿宋_GB2312" w:eastAsia="仿宋_GB2312"/>
                <w:sz w:val="24"/>
              </w:rPr>
            </w:pPr>
            <w:r>
              <w:rPr>
                <w:rFonts w:hint="eastAsia" w:ascii="仿宋_GB2312" w:eastAsia="仿宋_GB2312"/>
                <w:sz w:val="24"/>
              </w:rPr>
              <w:t>区直各指标牵头单位</w:t>
            </w:r>
          </w:p>
          <w:p>
            <w:pPr>
              <w:jc w:val="center"/>
              <w:rPr>
                <w:rFonts w:hint="eastAsia" w:ascii="仿宋_GB2312" w:eastAsia="仿宋_GB2312"/>
                <w:sz w:val="24"/>
              </w:rPr>
            </w:pPr>
            <w:r>
              <w:rPr>
                <w:rFonts w:hint="eastAsia" w:ascii="仿宋_GB2312" w:eastAsia="仿宋_GB2312"/>
                <w:sz w:val="24"/>
              </w:rPr>
              <w:t>绿色化工高新区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10</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对推进“五好”园区建设、深化园区管理制度改革、提高发展质量效益成效明显的园区，在省预算内基本建设投资中予以资金奖励。（牵头单位：省发展改革委）</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绿色化工高新区</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区发改局</w:t>
            </w:r>
          </w:p>
          <w:p>
            <w:pPr>
              <w:jc w:val="center"/>
              <w:rPr>
                <w:rFonts w:hint="eastAsia" w:ascii="仿宋_GB2312" w:eastAsia="仿宋_GB2312"/>
                <w:sz w:val="24"/>
              </w:rPr>
            </w:pPr>
            <w:r>
              <w:rPr>
                <w:rFonts w:hint="eastAsia" w:ascii="仿宋_GB2312" w:eastAsia="仿宋_GB2312"/>
                <w:sz w:val="24"/>
              </w:rPr>
              <w:t>区科工局</w:t>
            </w:r>
          </w:p>
          <w:p>
            <w:pPr>
              <w:jc w:val="center"/>
              <w:rPr>
                <w:rFonts w:hint="eastAsia" w:ascii="仿宋_GB2312" w:eastAsia="仿宋_GB2312"/>
                <w:sz w:val="24"/>
              </w:rPr>
            </w:pPr>
            <w:r>
              <w:rPr>
                <w:rFonts w:hint="eastAsia" w:ascii="仿宋_GB2312" w:eastAsia="仿宋_GB2312"/>
                <w:sz w:val="24"/>
              </w:rPr>
              <w:t>区自然资源局</w:t>
            </w:r>
          </w:p>
          <w:p>
            <w:pPr>
              <w:jc w:val="center"/>
              <w:rPr>
                <w:rFonts w:hint="eastAsia" w:ascii="仿宋_GB2312" w:eastAsia="仿宋_GB2312"/>
                <w:sz w:val="24"/>
              </w:rPr>
            </w:pPr>
            <w:r>
              <w:rPr>
                <w:rFonts w:hint="eastAsia" w:ascii="仿宋_GB2312" w:eastAsia="仿宋_GB2312"/>
                <w:sz w:val="24"/>
              </w:rPr>
              <w:t>区商粮局</w:t>
            </w:r>
          </w:p>
          <w:p>
            <w:pPr>
              <w:jc w:val="center"/>
              <w:rPr>
                <w:rFonts w:hint="eastAsia" w:ascii="仿宋_GB2312" w:eastAsia="仿宋_GB2312"/>
                <w:sz w:val="24"/>
              </w:rPr>
            </w:pPr>
            <w:r>
              <w:rPr>
                <w:rFonts w:hint="eastAsia" w:ascii="仿宋_GB2312" w:eastAsia="仿宋_GB2312"/>
                <w:sz w:val="24"/>
              </w:rPr>
              <w:t>区数据局</w:t>
            </w:r>
          </w:p>
          <w:p>
            <w:pPr>
              <w:jc w:val="center"/>
              <w:rPr>
                <w:rFonts w:hint="eastAsia" w:ascii="仿宋_GB2312" w:eastAsia="仿宋_GB2312"/>
                <w:sz w:val="24"/>
              </w:rPr>
            </w:pPr>
            <w:r>
              <w:rPr>
                <w:rFonts w:hint="eastAsia" w:ascii="仿宋_GB2312" w:eastAsia="仿宋_GB2312"/>
                <w:sz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11</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对推进财源建设提质攻坚、实施财源建设“六大工程”等成效明显的市州、县市区，给予资金奖励。（牵头单位：省财政厅）</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区财政局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12</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对实施主体强身行动，推动经营主体做大做强、促进创新创造、推进链式发展、做实精准帮扶等成效明显的市州、县市区，在相关专项资金中予以奖励。（牵头单位：省市场监管局）</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区市场监管局</w:t>
            </w:r>
          </w:p>
        </w:tc>
        <w:tc>
          <w:tcPr>
            <w:tcW w:w="3014" w:type="dxa"/>
            <w:noWrap w:val="0"/>
            <w:vAlign w:val="center"/>
          </w:tcPr>
          <w:p>
            <w:pPr>
              <w:spacing w:line="280" w:lineRule="exact"/>
              <w:jc w:val="center"/>
              <w:rPr>
                <w:rFonts w:hint="eastAsia" w:ascii="仿宋_GB2312" w:eastAsia="仿宋_GB2312"/>
                <w:sz w:val="24"/>
              </w:rPr>
            </w:pPr>
            <w:r>
              <w:rPr>
                <w:rFonts w:hint="eastAsia" w:ascii="仿宋_GB2312" w:eastAsia="仿宋_GB2312"/>
                <w:sz w:val="24"/>
              </w:rPr>
              <w:t>区科工局</w:t>
            </w:r>
          </w:p>
          <w:p>
            <w:pPr>
              <w:spacing w:line="280" w:lineRule="exact"/>
              <w:jc w:val="center"/>
              <w:rPr>
                <w:rFonts w:hint="eastAsia" w:ascii="仿宋_GB2312" w:eastAsia="仿宋_GB2312"/>
                <w:sz w:val="24"/>
              </w:rPr>
            </w:pPr>
            <w:r>
              <w:rPr>
                <w:rFonts w:hint="eastAsia" w:ascii="仿宋_GB2312" w:eastAsia="仿宋_GB2312"/>
                <w:sz w:val="24"/>
              </w:rPr>
              <w:t>区发改局</w:t>
            </w:r>
          </w:p>
          <w:p>
            <w:pPr>
              <w:spacing w:line="280" w:lineRule="exact"/>
              <w:jc w:val="center"/>
              <w:rPr>
                <w:rFonts w:hint="eastAsia" w:ascii="仿宋_GB2312" w:eastAsia="仿宋_GB2312"/>
                <w:sz w:val="24"/>
              </w:rPr>
            </w:pPr>
            <w:r>
              <w:rPr>
                <w:rFonts w:hint="eastAsia" w:ascii="仿宋_GB2312" w:eastAsia="仿宋_GB2312"/>
                <w:sz w:val="24"/>
              </w:rPr>
              <w:t>区住建局</w:t>
            </w:r>
          </w:p>
          <w:p>
            <w:pPr>
              <w:spacing w:line="280" w:lineRule="exact"/>
              <w:jc w:val="center"/>
              <w:rPr>
                <w:rFonts w:hint="eastAsia" w:ascii="仿宋_GB2312" w:eastAsia="仿宋_GB2312"/>
                <w:sz w:val="24"/>
              </w:rPr>
            </w:pPr>
            <w:r>
              <w:rPr>
                <w:rFonts w:hint="eastAsia" w:ascii="仿宋_GB2312" w:eastAsia="仿宋_GB2312"/>
                <w:sz w:val="24"/>
              </w:rPr>
              <w:t>区农业农村局</w:t>
            </w:r>
          </w:p>
          <w:p>
            <w:pPr>
              <w:spacing w:line="280" w:lineRule="exact"/>
              <w:jc w:val="center"/>
              <w:rPr>
                <w:rFonts w:hint="eastAsia" w:ascii="仿宋_GB2312" w:eastAsia="仿宋_GB2312"/>
                <w:sz w:val="24"/>
              </w:rPr>
            </w:pPr>
            <w:r>
              <w:rPr>
                <w:rFonts w:hint="eastAsia" w:ascii="仿宋_GB2312" w:eastAsia="仿宋_GB2312"/>
                <w:sz w:val="24"/>
              </w:rPr>
              <w:t>区商粮局</w:t>
            </w:r>
          </w:p>
          <w:p>
            <w:pPr>
              <w:spacing w:line="280" w:lineRule="exact"/>
              <w:jc w:val="center"/>
              <w:rPr>
                <w:rFonts w:hint="eastAsia" w:ascii="仿宋_GB2312" w:eastAsia="仿宋_GB2312"/>
                <w:sz w:val="24"/>
              </w:rPr>
            </w:pPr>
            <w:r>
              <w:rPr>
                <w:rFonts w:hint="eastAsia" w:ascii="仿宋_GB2312" w:eastAsia="仿宋_GB2312"/>
                <w:sz w:val="24"/>
              </w:rPr>
              <w:t>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13</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对实施安全守底行动，落实安全生产责任制，防范安全事故成效明显的市州、县市区，予以资金奖励。（牵头单位：省应急管理厅）</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区应急局</w:t>
            </w:r>
          </w:p>
        </w:tc>
        <w:tc>
          <w:tcPr>
            <w:tcW w:w="3014" w:type="dxa"/>
            <w:noWrap w:val="0"/>
            <w:vAlign w:val="center"/>
          </w:tcPr>
          <w:p>
            <w:pPr>
              <w:spacing w:line="280" w:lineRule="exact"/>
              <w:jc w:val="center"/>
              <w:rPr>
                <w:rFonts w:hint="eastAsia" w:ascii="仿宋_GB2312" w:eastAsia="仿宋_GB2312"/>
                <w:sz w:val="24"/>
              </w:rPr>
            </w:pPr>
            <w:r>
              <w:rPr>
                <w:rFonts w:hint="eastAsia" w:ascii="仿宋_GB2312" w:eastAsia="仿宋_GB2312"/>
                <w:sz w:val="24"/>
              </w:rPr>
              <w:t>各镇（街道）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14</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对加快推进化债方案实施，防范化解地方债务、金融、房地产等领域重大风险成效明显的市州、县市区，予以资金奖励。（牵头单位：省财政厅）</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区财政局</w:t>
            </w:r>
          </w:p>
        </w:tc>
        <w:tc>
          <w:tcPr>
            <w:tcW w:w="3014" w:type="dxa"/>
            <w:noWrap w:val="0"/>
            <w:vAlign w:val="center"/>
          </w:tcPr>
          <w:p>
            <w:pPr>
              <w:spacing w:line="280" w:lineRule="exact"/>
              <w:jc w:val="center"/>
              <w:rPr>
                <w:rFonts w:hint="eastAsia" w:ascii="仿宋_GB2312" w:eastAsia="仿宋_GB2312"/>
                <w:sz w:val="24"/>
              </w:rPr>
            </w:pPr>
            <w:r>
              <w:rPr>
                <w:rFonts w:hint="eastAsia" w:ascii="仿宋_GB2312" w:eastAsia="仿宋_GB2312"/>
                <w:sz w:val="24"/>
              </w:rPr>
              <w:t>区发改局</w:t>
            </w:r>
          </w:p>
          <w:p>
            <w:pPr>
              <w:spacing w:line="280" w:lineRule="exact"/>
              <w:jc w:val="center"/>
              <w:rPr>
                <w:rFonts w:hint="eastAsia" w:ascii="仿宋_GB2312" w:eastAsia="仿宋_GB2312"/>
                <w:sz w:val="24"/>
              </w:rPr>
            </w:pPr>
            <w:r>
              <w:rPr>
                <w:rFonts w:hint="eastAsia" w:ascii="仿宋_GB2312" w:eastAsia="仿宋_GB2312"/>
                <w:sz w:val="24"/>
              </w:rPr>
              <w:t>区科工局</w:t>
            </w:r>
          </w:p>
          <w:p>
            <w:pPr>
              <w:spacing w:line="280" w:lineRule="exact"/>
              <w:jc w:val="center"/>
              <w:rPr>
                <w:rFonts w:hint="eastAsia" w:ascii="仿宋_GB2312" w:eastAsia="仿宋_GB2312"/>
                <w:sz w:val="24"/>
              </w:rPr>
            </w:pPr>
            <w:r>
              <w:rPr>
                <w:rFonts w:hint="eastAsia" w:ascii="仿宋_GB2312" w:eastAsia="仿宋_GB2312"/>
                <w:sz w:val="24"/>
              </w:rPr>
              <w:t>区自然资源局</w:t>
            </w:r>
          </w:p>
          <w:p>
            <w:pPr>
              <w:spacing w:line="280" w:lineRule="exact"/>
              <w:jc w:val="center"/>
              <w:rPr>
                <w:rFonts w:hint="eastAsia" w:ascii="仿宋_GB2312" w:eastAsia="仿宋_GB2312"/>
                <w:sz w:val="24"/>
              </w:rPr>
            </w:pPr>
            <w:r>
              <w:rPr>
                <w:rFonts w:hint="eastAsia" w:ascii="仿宋_GB2312" w:eastAsia="仿宋_GB2312"/>
                <w:sz w:val="24"/>
              </w:rPr>
              <w:t>区住建局</w:t>
            </w:r>
          </w:p>
          <w:p>
            <w:pPr>
              <w:spacing w:line="280" w:lineRule="exact"/>
              <w:jc w:val="center"/>
              <w:rPr>
                <w:rFonts w:hint="eastAsia" w:ascii="仿宋_GB2312" w:eastAsia="仿宋_GB2312"/>
                <w:sz w:val="24"/>
              </w:rPr>
            </w:pPr>
            <w:r>
              <w:rPr>
                <w:rFonts w:hint="eastAsia" w:ascii="仿宋_GB2312" w:eastAsia="仿宋_GB2312"/>
                <w:sz w:val="24"/>
              </w:rPr>
              <w:t>区机关事务服务中心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15</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对扎实推进更高水平的平安湖南建设，未发生系统性风险、未发生对社会安全稳定产生重大影响案事件等综合成效明显的市州、县市区，在相关专项资金中予以奖励。（牵头单位：省公安厅）</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公安分局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区信访局</w:t>
            </w:r>
          </w:p>
          <w:p>
            <w:pPr>
              <w:jc w:val="center"/>
              <w:rPr>
                <w:rFonts w:hint="eastAsia" w:ascii="仿宋_GB2312" w:eastAsia="仿宋_GB2312"/>
                <w:sz w:val="24"/>
              </w:rPr>
            </w:pPr>
            <w:r>
              <w:rPr>
                <w:rFonts w:hint="eastAsia" w:ascii="仿宋_GB2312" w:eastAsia="仿宋_GB2312"/>
                <w:sz w:val="24"/>
              </w:rPr>
              <w:t>各镇（街道）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16</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对守牢生态环境底线，打好蓝天、碧水、净土保卫战成效明显的市州、县市区，在相关专项资金中予以奖励。（牵头单位：省生态环境厅）</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生态环境分局</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各镇（街道）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17</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对实施民生可感行动，办好“十大重点民生实事”，促进就业、社会保险（含医疗保险）、教育高质量发展等成效明显的市州、县市区，在相关专项资金中予以奖励。（牵头单位：省人力资源社会保障厅）</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区人社局</w:t>
            </w:r>
          </w:p>
        </w:tc>
        <w:tc>
          <w:tcPr>
            <w:tcW w:w="3014" w:type="dxa"/>
            <w:noWrap w:val="0"/>
            <w:vAlign w:val="center"/>
          </w:tcPr>
          <w:p>
            <w:pPr>
              <w:jc w:val="center"/>
              <w:rPr>
                <w:rFonts w:ascii="仿宋_GB2312" w:eastAsia="仿宋_GB2312"/>
                <w:sz w:val="24"/>
              </w:rPr>
            </w:pPr>
            <w:r>
              <w:rPr>
                <w:rFonts w:hint="eastAsia" w:ascii="仿宋_GB2312" w:eastAsia="仿宋_GB2312"/>
                <w:sz w:val="24"/>
              </w:rPr>
              <w:t>各实事承办单位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94" w:type="dxa"/>
            <w:noWrap w:val="0"/>
            <w:vAlign w:val="center"/>
          </w:tcPr>
          <w:p>
            <w:pPr>
              <w:jc w:val="center"/>
              <w:rPr>
                <w:rFonts w:ascii="仿宋_GB2312" w:eastAsia="仿宋_GB2312"/>
                <w:sz w:val="24"/>
              </w:rPr>
            </w:pPr>
            <w:r>
              <w:rPr>
                <w:rFonts w:hint="eastAsia" w:ascii="仿宋_GB2312" w:eastAsia="仿宋_GB2312"/>
                <w:sz w:val="24"/>
              </w:rPr>
              <w:t>18</w:t>
            </w:r>
          </w:p>
        </w:tc>
        <w:tc>
          <w:tcPr>
            <w:tcW w:w="7098" w:type="dxa"/>
            <w:noWrap w:val="0"/>
            <w:vAlign w:val="center"/>
          </w:tcPr>
          <w:p>
            <w:pPr>
              <w:spacing w:line="320" w:lineRule="exact"/>
              <w:rPr>
                <w:rFonts w:hint="eastAsia" w:ascii="仿宋_GB2312" w:eastAsia="仿宋_GB2312"/>
                <w:sz w:val="24"/>
              </w:rPr>
            </w:pPr>
            <w:r>
              <w:rPr>
                <w:rFonts w:hint="eastAsia" w:ascii="仿宋_GB2312" w:eastAsia="仿宋_GB2312"/>
                <w:sz w:val="24"/>
              </w:rPr>
              <w:t>对落实重大政策部署成效明显，在国务院综合督查和省政府综合督查中有关典型经验做法被肯定的市州、县市区，予以通报表扬。</w:t>
            </w:r>
          </w:p>
        </w:tc>
        <w:tc>
          <w:tcPr>
            <w:tcW w:w="2799" w:type="dxa"/>
            <w:noWrap w:val="0"/>
            <w:vAlign w:val="center"/>
          </w:tcPr>
          <w:p>
            <w:pPr>
              <w:jc w:val="center"/>
              <w:rPr>
                <w:rFonts w:hint="eastAsia" w:ascii="仿宋_GB2312" w:eastAsia="仿宋_GB2312"/>
                <w:sz w:val="24"/>
              </w:rPr>
            </w:pPr>
            <w:r>
              <w:rPr>
                <w:rFonts w:hint="eastAsia" w:ascii="仿宋_GB2312" w:eastAsia="仿宋_GB2312"/>
                <w:sz w:val="24"/>
              </w:rPr>
              <w:t>区政府办</w:t>
            </w:r>
          </w:p>
        </w:tc>
        <w:tc>
          <w:tcPr>
            <w:tcW w:w="3014" w:type="dxa"/>
            <w:noWrap w:val="0"/>
            <w:vAlign w:val="center"/>
          </w:tcPr>
          <w:p>
            <w:pPr>
              <w:jc w:val="center"/>
              <w:rPr>
                <w:rFonts w:hint="eastAsia" w:ascii="仿宋_GB2312" w:eastAsia="仿宋_GB2312"/>
                <w:sz w:val="24"/>
              </w:rPr>
            </w:pPr>
            <w:r>
              <w:rPr>
                <w:rFonts w:hint="eastAsia" w:ascii="仿宋_GB2312" w:eastAsia="仿宋_GB2312"/>
                <w:sz w:val="24"/>
              </w:rPr>
              <w:t>各相关单位</w:t>
            </w:r>
          </w:p>
        </w:tc>
      </w:tr>
    </w:tbl>
    <w:p>
      <w:pPr>
        <w:spacing w:line="600" w:lineRule="exact"/>
        <w:rPr>
          <w:rFonts w:hint="eastAsia" w:ascii="方正小标宋简体" w:eastAsia="方正小标宋简体"/>
          <w:sz w:val="44"/>
          <w:szCs w:val="44"/>
        </w:rPr>
      </w:pPr>
    </w:p>
    <w:sectPr>
      <w:footerReference r:id="rId14" w:type="default"/>
      <w:pgSz w:w="16840" w:h="11907" w:orient="landscape"/>
      <w:pgMar w:top="1531" w:right="1701" w:bottom="1531" w:left="1588" w:header="851" w:footer="124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F62F98-4339-4BBD-9220-378FBEB987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49F21DB-AF25-4BE5-8CEC-A02FC8F5758C}"/>
  </w:font>
  <w:font w:name="方正小标宋简体">
    <w:panose1 w:val="02000000000000000000"/>
    <w:charset w:val="86"/>
    <w:family w:val="auto"/>
    <w:pitch w:val="default"/>
    <w:sig w:usb0="A00002BF" w:usb1="184F6CFA" w:usb2="00000012" w:usb3="00000000" w:csb0="00040001" w:csb1="00000000"/>
    <w:embedRegular r:id="rId3" w:fontKey="{BA607381-BF81-4BFA-A846-508B5B56DC5D}"/>
  </w:font>
  <w:font w:name="微软雅黑">
    <w:panose1 w:val="020B0503020204020204"/>
    <w:charset w:val="86"/>
    <w:family w:val="auto"/>
    <w:pitch w:val="default"/>
    <w:sig w:usb0="80000287" w:usb1="2ACF3C50" w:usb2="00000016" w:usb3="00000000" w:csb0="0004001F" w:csb1="00000000"/>
    <w:embedRegular r:id="rId4" w:fontKey="{9EE21C4B-9912-46B7-9583-95D6C522D132}"/>
  </w:font>
  <w:font w:name="仿宋">
    <w:panose1 w:val="02010609060101010101"/>
    <w:charset w:val="86"/>
    <w:family w:val="auto"/>
    <w:pitch w:val="default"/>
    <w:sig w:usb0="800002BF" w:usb1="38CF7CFA" w:usb2="00000016" w:usb3="00000000" w:csb0="00040001" w:csb1="00000000"/>
    <w:embedRegular r:id="rId5" w:fontKey="{5EB0AF87-E11D-4090-87FB-EB5FF4EEB0E5}"/>
  </w:font>
  <w:font w:name="仿宋_GB2312">
    <w:panose1 w:val="02010609030101010101"/>
    <w:charset w:val="86"/>
    <w:family w:val="modern"/>
    <w:pitch w:val="default"/>
    <w:sig w:usb0="00000001" w:usb1="080E0000" w:usb2="00000000" w:usb3="00000000" w:csb0="00040000" w:csb1="00000000"/>
    <w:embedRegular r:id="rId6" w:fontKey="{12143DDC-A20D-48D0-B133-985F877A75E7}"/>
  </w:font>
  <w:font w:name="楷体_GB2312">
    <w:altName w:val="楷体"/>
    <w:panose1 w:val="02010609030101010101"/>
    <w:charset w:val="86"/>
    <w:family w:val="modern"/>
    <w:pitch w:val="default"/>
    <w:sig w:usb0="00000000" w:usb1="00000000" w:usb2="00000010" w:usb3="00000000" w:csb0="00040000" w:csb1="00000000"/>
    <w:embedRegular r:id="rId7" w:fontKey="{6BF56E48-7D7D-4EBF-BAAC-E5273C14EC20}"/>
  </w:font>
  <w:font w:name="楷体">
    <w:panose1 w:val="02010609060101010101"/>
    <w:charset w:val="86"/>
    <w:family w:val="modern"/>
    <w:pitch w:val="default"/>
    <w:sig w:usb0="800002BF" w:usb1="38CF7CFA" w:usb2="00000016" w:usb3="00000000" w:csb0="00040001" w:csb1="00000000"/>
    <w:embedRegular r:id="rId8" w:fontKey="{B8DD10D8-580E-4A61-8055-9DD769DA7FA2}"/>
  </w:font>
  <w:font w:name="方正仿宋_GB2312">
    <w:panose1 w:val="02000000000000000000"/>
    <w:charset w:val="86"/>
    <w:family w:val="auto"/>
    <w:pitch w:val="default"/>
    <w:sig w:usb0="A00002BF" w:usb1="184F6CFA" w:usb2="00000012" w:usb3="00000000" w:csb0="00040001" w:csb1="00000000"/>
    <w:embedRegular r:id="rId9" w:fontKey="{174B3A05-1C53-4EB0-8AED-555F6A572891}"/>
  </w:font>
  <w:font w:name="??">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仿宋" w:hAnsi="仿宋" w:eastAsia="仿宋" w:cs="仿宋"/>
        <w:sz w:val="32"/>
        <w:szCs w:val="48"/>
      </w:rPr>
      <w:t xml:space="preserve">— </w:t>
    </w:r>
    <w:r>
      <w:rPr>
        <w:rFonts w:hint="eastAsia" w:ascii="仿宋" w:hAnsi="仿宋" w:eastAsia="仿宋" w:cs="仿宋"/>
        <w:sz w:val="32"/>
        <w:szCs w:val="48"/>
      </w:rPr>
      <w:fldChar w:fldCharType="begin"/>
    </w:r>
    <w:r>
      <w:rPr>
        <w:rFonts w:hint="eastAsia" w:ascii="仿宋" w:hAnsi="仿宋" w:eastAsia="仿宋" w:cs="仿宋"/>
        <w:sz w:val="32"/>
        <w:szCs w:val="48"/>
      </w:rPr>
      <w:instrText xml:space="preserve"> PAGE  \* MERGEFORMAT </w:instrText>
    </w:r>
    <w:r>
      <w:rPr>
        <w:rFonts w:hint="eastAsia" w:ascii="仿宋" w:hAnsi="仿宋" w:eastAsia="仿宋" w:cs="仿宋"/>
        <w:sz w:val="32"/>
        <w:szCs w:val="48"/>
      </w:rPr>
      <w:fldChar w:fldCharType="separate"/>
    </w:r>
    <w:r>
      <w:rPr>
        <w:rFonts w:hint="eastAsia" w:ascii="仿宋" w:hAnsi="仿宋" w:eastAsia="仿宋" w:cs="仿宋"/>
        <w:sz w:val="32"/>
        <w:szCs w:val="48"/>
      </w:rPr>
      <w:t>1</w:t>
    </w:r>
    <w:r>
      <w:rPr>
        <w:rFonts w:hint="eastAsia" w:ascii="仿宋" w:hAnsi="仿宋" w:eastAsia="仿宋" w:cs="仿宋"/>
        <w:sz w:val="32"/>
        <w:szCs w:val="48"/>
      </w:rPr>
      <w:fldChar w:fldCharType="end"/>
    </w:r>
    <w:r>
      <w:rPr>
        <w:rFonts w:hint="eastAsia" w:ascii="仿宋" w:hAnsi="仿宋" w:eastAsia="仿宋" w:cs="仿宋"/>
        <w:sz w:val="32"/>
        <w:szCs w:val="4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end"/>
    </w:r>
  </w:p>
  <w:p>
    <w:pPr>
      <w:pStyle w:val="6"/>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ascii="宋体" w:hAnsi="宋体"/>
        <w:sz w:val="28"/>
        <w:szCs w:val="28"/>
      </w:rPr>
      <w:t>—</w:t>
    </w: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3</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hint="eastAsia" w:ascii="宋体" w:hAnsi="宋体" w:eastAsia="宋体" w:cs="Times New Roman"/>
        <w:kern w:val="2"/>
        <w:sz w:val="28"/>
        <w:szCs w:val="28"/>
        <w:lang w:val="en-US" w:eastAsia="zh-CN" w:bidi="ar-SA"/>
      </w:rPr>
    </w:pPr>
    <w:r>
      <w:rPr>
        <w:rStyle w:val="16"/>
        <w:rFonts w:hint="eastAsia" w:ascii="宋体" w:hAnsi="宋体" w:eastAsia="宋体" w:cs="Times New Roman"/>
        <w:kern w:val="2"/>
        <w:sz w:val="28"/>
        <w:szCs w:val="28"/>
        <w:lang w:val="en-US" w:eastAsia="zh-CN" w:bidi="ar-SA"/>
      </w:rPr>
      <w:t xml:space="preserve">— </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PAGE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2</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 xml:space="preserve"> —</w:t>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ascii="Times New Roman" w:hAnsi="Times New Roman" w:eastAsia="宋体" w:cs="Times New Roman"/>
        <w:kern w:val="2"/>
        <w:sz w:val="18"/>
        <w:szCs w:val="18"/>
        <w:lang w:val="en-US" w:eastAsia="zh-CN" w:bidi="ar-SA"/>
      </w:rPr>
    </w:pPr>
    <w:r>
      <w:rPr>
        <w:rStyle w:val="16"/>
        <w:rFonts w:ascii="Times New Roman" w:hAnsi="Times New Roman" w:eastAsia="宋体" w:cs="Times New Roman"/>
        <w:kern w:val="2"/>
        <w:sz w:val="21"/>
        <w:szCs w:val="24"/>
        <w:lang w:val="en-US" w:eastAsia="zh-CN" w:bidi="ar-SA"/>
      </w:rPr>
      <w:fldChar w:fldCharType="begin"/>
    </w:r>
    <w:r>
      <w:rPr>
        <w:rStyle w:val="16"/>
        <w:rFonts w:ascii="Times New Roman" w:hAnsi="Times New Roman" w:eastAsia="宋体" w:cs="Times New Roman"/>
        <w:kern w:val="2"/>
        <w:sz w:val="21"/>
        <w:szCs w:val="24"/>
        <w:lang w:val="en-US" w:eastAsia="zh-CN" w:bidi="ar-SA"/>
      </w:rPr>
      <w:instrText xml:space="preserve">PAGE  </w:instrText>
    </w:r>
    <w:r>
      <w:rPr>
        <w:rStyle w:val="16"/>
        <w:rFonts w:ascii="Times New Roman" w:hAnsi="Times New Roman" w:eastAsia="宋体" w:cs="Times New Roman"/>
        <w:kern w:val="2"/>
        <w:sz w:val="21"/>
        <w:szCs w:val="24"/>
        <w:lang w:val="en-US" w:eastAsia="zh-CN" w:bidi="ar-SA"/>
      </w:rPr>
      <w:fldChar w:fldCharType="end"/>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hint="eastAsia" w:ascii="宋体" w:hAnsi="宋体" w:eastAsia="宋体" w:cs="Times New Roman"/>
        <w:kern w:val="2"/>
        <w:sz w:val="28"/>
        <w:szCs w:val="28"/>
        <w:lang w:val="en-US" w:eastAsia="zh-CN" w:bidi="ar-SA"/>
      </w:rPr>
    </w:pPr>
    <w:r>
      <w:rPr>
        <w:rStyle w:val="16"/>
        <w:rFonts w:hint="eastAsia" w:ascii="宋体" w:hAnsi="宋体" w:eastAsia="宋体" w:cs="Times New Roman"/>
        <w:kern w:val="2"/>
        <w:sz w:val="28"/>
        <w:szCs w:val="28"/>
        <w:lang w:val="en-US" w:eastAsia="zh-CN" w:bidi="ar-SA"/>
      </w:rPr>
      <w:t xml:space="preserve">— </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PAGE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1</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 xml:space="preserve"> —</w:t>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ascii="Times New Roman" w:hAnsi="Times New Roman" w:eastAsia="宋体" w:cs="Times New Roman"/>
        <w:kern w:val="2"/>
        <w:sz w:val="18"/>
        <w:szCs w:val="18"/>
        <w:lang w:val="en-US" w:eastAsia="zh-CN" w:bidi="ar-SA"/>
      </w:rPr>
    </w:pPr>
    <w:r>
      <w:rPr>
        <w:rStyle w:val="16"/>
        <w:rFonts w:ascii="Times New Roman" w:hAnsi="Times New Roman" w:eastAsia="宋体" w:cs="Times New Roman"/>
        <w:kern w:val="2"/>
        <w:sz w:val="21"/>
        <w:szCs w:val="24"/>
        <w:lang w:val="en-US" w:eastAsia="zh-CN" w:bidi="ar-SA"/>
      </w:rPr>
      <w:fldChar w:fldCharType="begin"/>
    </w:r>
    <w:r>
      <w:rPr>
        <w:rStyle w:val="16"/>
        <w:rFonts w:ascii="Times New Roman" w:hAnsi="Times New Roman" w:eastAsia="宋体" w:cs="Times New Roman"/>
        <w:kern w:val="2"/>
        <w:sz w:val="21"/>
        <w:szCs w:val="24"/>
        <w:lang w:val="en-US" w:eastAsia="zh-CN" w:bidi="ar-SA"/>
      </w:rPr>
      <w:instrText xml:space="preserve">PAGE  </w:instrText>
    </w:r>
    <w:r>
      <w:rPr>
        <w:rStyle w:val="16"/>
        <w:rFonts w:ascii="Times New Roman" w:hAnsi="Times New Roman" w:eastAsia="宋体" w:cs="Times New Roman"/>
        <w:kern w:val="2"/>
        <w:sz w:val="21"/>
        <w:szCs w:val="24"/>
        <w:lang w:val="en-US" w:eastAsia="zh-CN" w:bidi="ar-SA"/>
      </w:rPr>
      <w:fldChar w:fldCharType="end"/>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hint="eastAsia" w:ascii="宋体" w:hAnsi="宋体" w:eastAsia="宋体" w:cs="Times New Roman"/>
        <w:kern w:val="2"/>
        <w:sz w:val="28"/>
        <w:szCs w:val="28"/>
        <w:lang w:val="en-US" w:eastAsia="zh-CN" w:bidi="ar-SA"/>
      </w:rPr>
    </w:pPr>
    <w:r>
      <w:rPr>
        <w:rStyle w:val="16"/>
        <w:rFonts w:hint="eastAsia" w:ascii="宋体" w:hAnsi="宋体" w:eastAsia="宋体" w:cs="Times New Roman"/>
        <w:kern w:val="2"/>
        <w:sz w:val="28"/>
        <w:szCs w:val="28"/>
        <w:lang w:val="en-US" w:eastAsia="zh-CN" w:bidi="ar-SA"/>
      </w:rPr>
      <w:t xml:space="preserve">— </w:t>
    </w:r>
    <w:r>
      <w:rPr>
        <w:rStyle w:val="16"/>
        <w:rFonts w:hint="eastAsia" w:ascii="宋体" w:hAnsi="宋体" w:eastAsia="宋体" w:cs="Times New Roman"/>
        <w:kern w:val="2"/>
        <w:sz w:val="28"/>
        <w:szCs w:val="28"/>
        <w:lang w:val="en-US" w:eastAsia="zh-CN" w:bidi="ar-SA"/>
      </w:rPr>
      <w:fldChar w:fldCharType="begin"/>
    </w:r>
    <w:r>
      <w:rPr>
        <w:rStyle w:val="16"/>
        <w:rFonts w:hint="eastAsia" w:ascii="宋体" w:hAnsi="宋体" w:eastAsia="宋体" w:cs="Times New Roman"/>
        <w:kern w:val="2"/>
        <w:sz w:val="28"/>
        <w:szCs w:val="28"/>
        <w:lang w:val="en-US" w:eastAsia="zh-CN" w:bidi="ar-SA"/>
      </w:rPr>
      <w:instrText xml:space="preserve">PAGE  </w:instrText>
    </w:r>
    <w:r>
      <w:rPr>
        <w:rStyle w:val="16"/>
        <w:rFonts w:hint="eastAsia"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8</w:t>
    </w:r>
    <w:r>
      <w:rPr>
        <w:rStyle w:val="16"/>
        <w:rFonts w:hint="eastAsia"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 xml:space="preserve"> —</w:t>
    </w:r>
  </w:p>
  <w:p>
    <w:pPr>
      <w:widowControl w:val="0"/>
      <w:snapToGrid w:val="0"/>
      <w:ind w:right="360" w:firstLine="360"/>
      <w:jc w:val="left"/>
      <w:rPr>
        <w:rFonts w:hint="eastAsia" w:ascii="宋体" w:hAnsi="Calibri" w:eastAsia="宋体" w:cs="Times New Roman"/>
        <w:kern w:val="2"/>
        <w:sz w:val="28"/>
        <w:szCs w:val="2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ascii="Calibri" w:hAnsi="Calibri" w:eastAsia="宋体" w:cs="Times New Roman"/>
        <w:kern w:val="2"/>
        <w:sz w:val="18"/>
        <w:szCs w:val="18"/>
        <w:lang w:val="en-US" w:eastAsia="zh-CN" w:bidi="ar-SA"/>
      </w:rPr>
    </w:pPr>
    <w:r>
      <w:rPr>
        <w:rStyle w:val="16"/>
        <w:rFonts w:ascii="Times New Roman" w:hAnsi="Times New Roman" w:eastAsia="宋体" w:cs="Times New Roman"/>
        <w:kern w:val="2"/>
        <w:sz w:val="21"/>
        <w:szCs w:val="24"/>
        <w:lang w:val="en-US" w:eastAsia="zh-CN" w:bidi="ar-SA"/>
      </w:rPr>
      <w:fldChar w:fldCharType="begin"/>
    </w:r>
    <w:r>
      <w:rPr>
        <w:rStyle w:val="16"/>
        <w:rFonts w:ascii="Times New Roman" w:hAnsi="Times New Roman" w:eastAsia="宋体" w:cs="Times New Roman"/>
        <w:kern w:val="2"/>
        <w:sz w:val="21"/>
        <w:szCs w:val="24"/>
        <w:lang w:val="en-US" w:eastAsia="zh-CN" w:bidi="ar-SA"/>
      </w:rPr>
      <w:instrText xml:space="preserve">PAGE  </w:instrText>
    </w:r>
    <w:r>
      <w:rPr>
        <w:rStyle w:val="16"/>
        <w:rFonts w:ascii="Times New Roman" w:hAnsi="Times New Roman" w:eastAsia="宋体" w:cs="Times New Roman"/>
        <w:kern w:val="2"/>
        <w:sz w:val="21"/>
        <w:szCs w:val="24"/>
        <w:lang w:val="en-US" w:eastAsia="zh-CN" w:bidi="ar-SA"/>
      </w:rPr>
      <w:fldChar w:fldCharType="separate"/>
    </w:r>
    <w:r>
      <w:rPr>
        <w:rStyle w:val="16"/>
        <w:rFonts w:ascii="Times New Roman" w:hAnsi="Times New Roman" w:eastAsia="宋体" w:cs="Times New Roman"/>
        <w:vanish/>
        <w:kern w:val="2"/>
        <w:sz w:val="21"/>
        <w:szCs w:val="24"/>
        <w:lang w:val="en-US" w:eastAsia="zh-CN" w:bidi="ar-SA"/>
      </w:rPr>
      <w:t xml:space="preserve"> </w:t>
    </w:r>
    <w:r>
      <w:rPr>
        <w:rStyle w:val="16"/>
        <w:rFonts w:ascii="Times New Roman" w:hAnsi="Times New Roman" w:eastAsia="宋体" w:cs="Times New Roman"/>
        <w:kern w:val="2"/>
        <w:sz w:val="21"/>
        <w:szCs w:val="24"/>
        <w:lang w:val="en-US" w:eastAsia="zh-CN" w:bidi="ar-SA"/>
      </w:rPr>
      <w:fldChar w:fldCharType="end"/>
    </w:r>
  </w:p>
  <w:p>
    <w:pPr>
      <w:widowControl w:val="0"/>
      <w:snapToGrid w:val="0"/>
      <w:ind w:right="360" w:firstLine="360"/>
      <w:jc w:val="left"/>
      <w:rPr>
        <w:rFonts w:ascii="Calibri" w:hAnsi="Calibri"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4</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ascii="宋体" w:hAnsi="宋体"/>
        <w:sz w:val="28"/>
        <w:szCs w:val="28"/>
      </w:rPr>
      <w:t>—</w:t>
    </w: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2</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rPr>
        <w:rFonts w:ascii="宋体" w:hAnsi="宋体"/>
        <w:sz w:val="28"/>
        <w:szCs w:val="28"/>
      </w:rPr>
    </w:pPr>
  </w:p>
  <w:p>
    <w:r>
      <w:rPr>
        <w:rFonts w:hint="eastAsia" w:ascii="宋体" w:hAnsi="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1OGNmNGRiZDQzYjdmYTQwYTJjYWY2ZGY5YTU3YmEifQ=="/>
  </w:docVars>
  <w:rsids>
    <w:rsidRoot w:val="14865DBD"/>
    <w:rsid w:val="007E2F28"/>
    <w:rsid w:val="027A149C"/>
    <w:rsid w:val="04127E4F"/>
    <w:rsid w:val="04732647"/>
    <w:rsid w:val="04926F71"/>
    <w:rsid w:val="050819D3"/>
    <w:rsid w:val="054312B2"/>
    <w:rsid w:val="06A116ED"/>
    <w:rsid w:val="06B807E5"/>
    <w:rsid w:val="086A1FB2"/>
    <w:rsid w:val="09B320EB"/>
    <w:rsid w:val="0A071EF2"/>
    <w:rsid w:val="0A2608CA"/>
    <w:rsid w:val="0AC05EBA"/>
    <w:rsid w:val="0D4E104E"/>
    <w:rsid w:val="11335637"/>
    <w:rsid w:val="12866648"/>
    <w:rsid w:val="14865DBD"/>
    <w:rsid w:val="17EC4792"/>
    <w:rsid w:val="1CD557F5"/>
    <w:rsid w:val="1E080D46"/>
    <w:rsid w:val="1EE15A93"/>
    <w:rsid w:val="22F31F3C"/>
    <w:rsid w:val="267A619D"/>
    <w:rsid w:val="27532138"/>
    <w:rsid w:val="2D745D8E"/>
    <w:rsid w:val="32D361EE"/>
    <w:rsid w:val="37476752"/>
    <w:rsid w:val="3B4B67F9"/>
    <w:rsid w:val="3D04002F"/>
    <w:rsid w:val="3D202664"/>
    <w:rsid w:val="3DE8401A"/>
    <w:rsid w:val="43725E62"/>
    <w:rsid w:val="45083E43"/>
    <w:rsid w:val="47E26E94"/>
    <w:rsid w:val="48AC74A2"/>
    <w:rsid w:val="4A407EA2"/>
    <w:rsid w:val="4A52005A"/>
    <w:rsid w:val="507E7AD2"/>
    <w:rsid w:val="50C76017"/>
    <w:rsid w:val="5119769F"/>
    <w:rsid w:val="54436F0C"/>
    <w:rsid w:val="55A95748"/>
    <w:rsid w:val="561623FF"/>
    <w:rsid w:val="5693295F"/>
    <w:rsid w:val="593E7CA2"/>
    <w:rsid w:val="596A6B55"/>
    <w:rsid w:val="5D3E547C"/>
    <w:rsid w:val="5E9071F2"/>
    <w:rsid w:val="5FDA715B"/>
    <w:rsid w:val="614C33F2"/>
    <w:rsid w:val="61EF4230"/>
    <w:rsid w:val="63583214"/>
    <w:rsid w:val="65984BDE"/>
    <w:rsid w:val="663D1994"/>
    <w:rsid w:val="667F3E1E"/>
    <w:rsid w:val="67B04461"/>
    <w:rsid w:val="6A812736"/>
    <w:rsid w:val="6BBD0EFB"/>
    <w:rsid w:val="6DA132F2"/>
    <w:rsid w:val="6DC039F0"/>
    <w:rsid w:val="6FB6638D"/>
    <w:rsid w:val="70ED2282"/>
    <w:rsid w:val="72135D18"/>
    <w:rsid w:val="73A47F77"/>
    <w:rsid w:val="753F2061"/>
    <w:rsid w:val="77DC095A"/>
    <w:rsid w:val="7803238B"/>
    <w:rsid w:val="78340796"/>
    <w:rsid w:val="7B58479C"/>
    <w:rsid w:val="7C220C91"/>
    <w:rsid w:val="7CC7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adjustRightInd w:val="0"/>
      <w:snapToGrid w:val="0"/>
      <w:spacing w:line="579" w:lineRule="atLeast"/>
      <w:ind w:firstLine="200" w:firstLineChars="200"/>
      <w:outlineLvl w:val="1"/>
    </w:pPr>
    <w:rPr>
      <w:rFonts w:eastAsia="黑体"/>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szCs w:val="22"/>
    </w:rPr>
  </w:style>
  <w:style w:type="paragraph" w:styleId="4">
    <w:name w:val="Body Text Indent"/>
    <w:basedOn w:val="1"/>
    <w:qFormat/>
    <w:uiPriority w:val="0"/>
    <w:pPr>
      <w:spacing w:after="120"/>
      <w:ind w:left="420" w:leftChars="200"/>
    </w:pPr>
  </w:style>
  <w:style w:type="paragraph" w:styleId="5">
    <w:name w:val="toc 5"/>
    <w:basedOn w:val="1"/>
    <w:next w:val="1"/>
    <w:qFormat/>
    <w:uiPriority w:val="0"/>
    <w:pPr>
      <w:ind w:left="1680" w:leftChars="80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9">
    <w:name w:val="Normal (Web)"/>
    <w:basedOn w:val="1"/>
    <w:qFormat/>
    <w:uiPriority w:val="0"/>
    <w:pPr>
      <w:jc w:val="left"/>
    </w:pPr>
    <w:rPr>
      <w:rFonts w:ascii="Arial" w:hAnsi="Arial"/>
      <w:color w:val="333333"/>
      <w:kern w:val="0"/>
      <w:sz w:val="18"/>
      <w:szCs w:val="18"/>
    </w:rPr>
  </w:style>
  <w:style w:type="paragraph" w:styleId="10">
    <w:name w:val="Body Text First Indent"/>
    <w:basedOn w:val="3"/>
    <w:qFormat/>
    <w:uiPriority w:val="0"/>
    <w:pPr>
      <w:ind w:firstLine="420" w:firstLineChars="100"/>
    </w:pPr>
    <w:rPr>
      <w:rFonts w:ascii="Calibri" w:hAnsi="Calibri"/>
    </w:rPr>
  </w:style>
  <w:style w:type="paragraph" w:styleId="11">
    <w:name w:val="Body Text First Indent 2"/>
    <w:basedOn w:val="4"/>
    <w:unhideWhenUsed/>
    <w:qFormat/>
    <w:uiPriority w:val="0"/>
    <w:pPr>
      <w:ind w:firstLine="420" w:firstLineChars="200"/>
    </w:pPr>
    <w:rPr>
      <w:rFonts w:ascii="Calibri" w:hAnsi="Calibri"/>
      <w:kern w:val="21"/>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cs="Times New Roman"/>
      <w:b/>
    </w:rPr>
  </w:style>
  <w:style w:type="character" w:styleId="16">
    <w:name w:val="page number"/>
    <w:basedOn w:val="14"/>
    <w:qFormat/>
    <w:uiPriority w:val="0"/>
  </w:style>
  <w:style w:type="paragraph" w:customStyle="1" w:styleId="17">
    <w:name w:val="样式 正文 首行缩进:  2 字符"/>
    <w:basedOn w:val="1"/>
    <w:qFormat/>
    <w:uiPriority w:val="0"/>
    <w:pPr>
      <w:ind w:firstLine="518" w:firstLineChars="200"/>
    </w:pPr>
    <w:rPr>
      <w:rFonts w:ascii="Calibri" w:hAnsi="Calibri"/>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表格"/>
    <w:basedOn w:val="1"/>
    <w:qFormat/>
    <w:uiPriority w:val="0"/>
    <w:pPr>
      <w:spacing w:line="400" w:lineRule="exact"/>
      <w:jc w:val="center"/>
    </w:pPr>
    <w:rPr>
      <w:rFonts w:ascii="Calibri" w:hAnsi="Calibri"/>
      <w:sz w:val="28"/>
    </w:rPr>
  </w:style>
  <w:style w:type="character" w:customStyle="1" w:styleId="20">
    <w:name w:val="NormalCharacter"/>
    <w:semiHidden/>
    <w:qFormat/>
    <w:uiPriority w:val="0"/>
    <w:rPr>
      <w:rFonts w:ascii="Calibri" w:hAnsi="Calibri" w:eastAsia="Times New Roman"/>
      <w:kern w:val="2"/>
      <w:sz w:val="24"/>
      <w:lang w:val="en-US" w:eastAsia="zh-CN"/>
    </w:rPr>
  </w:style>
  <w:style w:type="paragraph" w:customStyle="1" w:styleId="21">
    <w:name w:val="正文文本首行缩进 21"/>
    <w:next w:val="1"/>
    <w:qFormat/>
    <w:uiPriority w:val="0"/>
    <w:pPr>
      <w:widowControl w:val="0"/>
      <w:ind w:left="420" w:leftChars="200" w:firstLine="420" w:firstLineChars="200"/>
      <w:jc w:val="both"/>
    </w:pPr>
    <w:rPr>
      <w:rFonts w:ascii="Calibri" w:hAnsi="Calibri" w:eastAsia="宋体" w:cs="Times New Roman"/>
      <w:kern w:val="2"/>
      <w:sz w:val="21"/>
      <w:szCs w:val="24"/>
      <w:lang w:val="en-US" w:eastAsia="zh-CN" w:bidi="ar-SA"/>
    </w:rPr>
  </w:style>
  <w:style w:type="character" w:customStyle="1" w:styleId="22">
    <w:name w:val="17"/>
    <w:basedOn w:val="14"/>
    <w:qFormat/>
    <w:uiPriority w:val="0"/>
    <w:rPr>
      <w:rFonts w:hint="default" w:ascii="Times New Roman" w:hAnsi="Times New Roman" w:eastAsia="黑体" w:cs="Times New Roman"/>
      <w:kern w:val="44"/>
    </w:rPr>
  </w:style>
  <w:style w:type="paragraph" w:customStyle="1" w:styleId="23">
    <w:name w:val="表格文字"/>
    <w:basedOn w:val="1"/>
    <w:next w:val="1"/>
    <w:qFormat/>
    <w:uiPriority w:val="0"/>
    <w:pPr>
      <w:spacing w:line="240" w:lineRule="auto"/>
      <w:jc w:val="center"/>
    </w:pPr>
    <w:rPr>
      <w:sz w:val="21"/>
      <w:szCs w:val="21"/>
    </w:rPr>
  </w:style>
  <w:style w:type="paragraph" w:customStyle="1" w:styleId="24">
    <w:name w:val="Table Text"/>
    <w:semiHidden/>
    <w:qFormat/>
    <w:uiPriority w:val="0"/>
    <w:pPr>
      <w:widowControl w:val="0"/>
      <w:jc w:val="both"/>
    </w:pPr>
    <w:rPr>
      <w:rFonts w:ascii="Arial" w:hAnsi="Arial" w:eastAsia="Arial" w:cs="Arial"/>
      <w:kern w:val="2"/>
      <w:sz w:val="21"/>
      <w:szCs w:val="21"/>
      <w:lang w:val="en-US" w:eastAsia="en-US" w:bidi="ar-SA"/>
    </w:rPr>
  </w:style>
  <w:style w:type="paragraph" w:customStyle="1" w:styleId="25">
    <w:name w:val="首行缩进"/>
    <w:basedOn w:val="1"/>
    <w:qFormat/>
    <w:uiPriority w:val="0"/>
    <w:pPr>
      <w:ind w:firstLine="200" w:firstLineChars="200"/>
    </w:pPr>
    <w:rPr>
      <w:rFonts w:ascii="Times New Roman" w:hAnsi="Times New Roman"/>
      <w:szCs w:val="20"/>
      <w:lang w:val="zh-CN" w:eastAsia="zh-CN"/>
    </w:rPr>
  </w:style>
  <w:style w:type="paragraph" w:customStyle="1" w:styleId="26">
    <w:name w:val="索引 51"/>
    <w:basedOn w:val="1"/>
    <w:next w:val="1"/>
    <w:qFormat/>
    <w:uiPriority w:val="0"/>
    <w:pPr>
      <w:ind w:left="168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61487</Words>
  <Characters>62809</Characters>
  <Lines>0</Lines>
  <Paragraphs>0</Paragraphs>
  <TotalTime>19</TotalTime>
  <ScaleCrop>false</ScaleCrop>
  <LinksUpToDate>false</LinksUpToDate>
  <CharactersWithSpaces>64253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2022-10-27T06:36:00Z</dcterms:created>
  <dc:creator>许娜</dc:creator>
  <cp:lastModifiedBy>许娜</cp:lastModifiedBy>
  <cp:lastPrinted>2024-10-12T07:05:30Z</cp:lastPrinted>
  <dcterms:modified xsi:type="dcterms:W3CDTF">2024-10-12T07:12:24Z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A05089A475914EFB836366FD58DE8E5A_13</vt:lpwstr>
  </property>
</Properties>
</file>