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1158240</wp:posOffset>
            </wp:positionH>
            <wp:positionV relativeFrom="paragraph">
              <wp:posOffset>161290</wp:posOffset>
            </wp:positionV>
            <wp:extent cx="2941955" cy="3070225"/>
            <wp:effectExtent l="0" t="0" r="0" b="0"/>
            <wp:wrapNone/>
            <wp:docPr id="1" name="图片 1" descr="国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
                    <pic:cNvPicPr>
                      <a:picLocks noChangeAspect="1"/>
                    </pic:cNvPicPr>
                  </pic:nvPicPr>
                  <pic:blipFill>
                    <a:blip r:embed="rId18"/>
                    <a:stretch>
                      <a:fillRect/>
                    </a:stretch>
                  </pic:blipFill>
                  <pic:spPr>
                    <a:xfrm>
                      <a:off x="0" y="0"/>
                      <a:ext cx="2941955" cy="3070225"/>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方正小标宋简体" w:hAnsi="方正小标宋简体" w:eastAsia="方正小标宋简体" w:cs="方正小标宋简体"/>
          <w:b/>
          <w:bCs/>
          <w:color w:val="0000FF"/>
          <w:sz w:val="72"/>
          <w:szCs w:val="144"/>
          <w:lang w:val="en-US" w:eastAsia="zh-CN"/>
        </w:rPr>
      </w:pPr>
      <w:r>
        <w:rPr>
          <w:rFonts w:hint="eastAsia" w:ascii="方正小标宋简体" w:hAnsi="方正小标宋简体" w:eastAsia="方正小标宋简体" w:cs="方正小标宋简体"/>
          <w:b/>
          <w:bCs/>
          <w:color w:val="0000FF"/>
          <w:sz w:val="72"/>
          <w:szCs w:val="144"/>
          <w:lang w:val="en-US" w:eastAsia="zh-CN"/>
        </w:rPr>
        <w:t>云 溪 区 人 民 政 府</w:t>
      </w:r>
    </w:p>
    <w:p>
      <w:pPr>
        <w:jc w:val="center"/>
        <w:rPr>
          <w:rFonts w:hint="eastAsia" w:ascii="方正小标宋简体" w:hAnsi="方正小标宋简体" w:eastAsia="方正小标宋简体" w:cs="方正小标宋简体"/>
          <w:color w:val="0000FF"/>
          <w:sz w:val="108"/>
          <w:szCs w:val="108"/>
          <w:lang w:val="en-US" w:eastAsia="zh-CN"/>
        </w:rPr>
      </w:pPr>
      <w:r>
        <w:rPr>
          <w:rFonts w:hint="eastAsia" w:ascii="方正小标宋简体" w:hAnsi="方正小标宋简体" w:eastAsia="方正小标宋简体" w:cs="方正小标宋简体"/>
          <w:color w:val="0000FF"/>
          <w:sz w:val="108"/>
          <w:szCs w:val="108"/>
          <w:lang w:val="en-US" w:eastAsia="zh-CN"/>
        </w:rPr>
        <w:t>公  报</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outlineLvl w:val="0"/>
        <w:rPr>
          <w:rFonts w:hint="eastAsia" w:ascii="微软雅黑" w:hAnsi="微软雅黑" w:eastAsia="微软雅黑" w:cs="微软雅黑"/>
          <w:sz w:val="36"/>
          <w:szCs w:val="44"/>
          <w:u w:val="none"/>
          <w:lang w:val="en-US" w:eastAsia="zh-CN"/>
        </w:rPr>
      </w:pPr>
      <w:bookmarkStart w:id="0" w:name="_Toc18785"/>
      <w:r>
        <w:rPr>
          <w:rFonts w:hint="eastAsia" w:ascii="微软雅黑" w:hAnsi="微软雅黑" w:eastAsia="微软雅黑" w:cs="微软雅黑"/>
          <w:sz w:val="36"/>
          <w:szCs w:val="44"/>
          <w:u w:val="none"/>
          <w:lang w:val="en-US" w:eastAsia="zh-CN"/>
        </w:rPr>
        <w:t>第 2期</w:t>
      </w:r>
      <w:bookmarkEnd w:id="0"/>
    </w:p>
    <w:p>
      <w:pPr>
        <w:jc w:val="center"/>
        <w:rPr>
          <w:rFonts w:hint="default" w:ascii="微软雅黑" w:hAnsi="微软雅黑" w:eastAsia="微软雅黑" w:cs="微软雅黑"/>
          <w:b/>
          <w:bCs/>
          <w:color w:val="FF0000"/>
          <w:sz w:val="52"/>
          <w:szCs w:val="72"/>
          <w:lang w:val="en-US" w:eastAsia="zh-CN"/>
        </w:rPr>
      </w:pPr>
      <w:r>
        <w:rPr>
          <w:sz w:val="40"/>
          <w:szCs w:val="28"/>
        </w:rPr>
        <mc:AlternateContent>
          <mc:Choice Requires="wps">
            <w:drawing>
              <wp:anchor distT="0" distB="0" distL="114300" distR="114300" simplePos="0" relativeHeight="251661312" behindDoc="0" locked="0" layoutInCell="1" allowOverlap="1">
                <wp:simplePos x="0" y="0"/>
                <wp:positionH relativeFrom="column">
                  <wp:posOffset>2186305</wp:posOffset>
                </wp:positionH>
                <wp:positionV relativeFrom="paragraph">
                  <wp:posOffset>24130</wp:posOffset>
                </wp:positionV>
                <wp:extent cx="882015" cy="0"/>
                <wp:effectExtent l="0" t="14605" r="13335" b="23495"/>
                <wp:wrapNone/>
                <wp:docPr id="2" name="直接连接符 2"/>
                <wp:cNvGraphicFramePr/>
                <a:graphic xmlns:a="http://schemas.openxmlformats.org/drawingml/2006/main">
                  <a:graphicData uri="http://schemas.microsoft.com/office/word/2010/wordprocessingShape">
                    <wps:wsp>
                      <wps:cNvCnPr/>
                      <wps:spPr>
                        <a:xfrm>
                          <a:off x="3186430" y="8834755"/>
                          <a:ext cx="88201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2.15pt;margin-top:1.9pt;height:0pt;width:69.45pt;z-index:251661312;mso-width-relative:page;mso-height-relative:page;" filled="f" stroked="t" coordsize="21600,21600" o:gfxdata="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b3bINQAAAAHAQAADwAAAAAAAAABACAAAAAiAAAAZHJzL2Rvd25yZXYueG1sUEsBAhQAFAAAAAgA&#10;h07iQL3E3gTwAQAAvQMAAA4AAAAAAAAAAQAgAAAAIwEAAGRycy9lMm9Eb2MueG1sUEsFBgAAAAAG&#10;AAYAWQEAAIUFAAAAAA==&#10;">
                <v:fill on="f" focussize="0,0"/>
                <v:stroke weight="2.25pt" color="#000000 [3200]" miterlimit="8" joinstyle="miter"/>
                <v:imagedata o:title=""/>
                <o:lock v:ext="edit" aspectratio="f"/>
              </v:line>
            </w:pict>
          </mc:Fallback>
        </mc:AlternateContent>
      </w:r>
      <w:r>
        <w:rPr>
          <w:rFonts w:hint="eastAsia" w:ascii="微软雅黑" w:hAnsi="微软雅黑" w:eastAsia="微软雅黑" w:cs="微软雅黑"/>
          <w:b/>
          <w:bCs/>
          <w:color w:val="FF0000"/>
          <w:sz w:val="52"/>
          <w:szCs w:val="72"/>
          <w:lang w:val="en-US" w:eastAsia="zh-CN"/>
        </w:rPr>
        <w:t>2025</w:t>
      </w:r>
    </w:p>
    <w:p>
      <w:pPr>
        <w:rPr>
          <w:rFonts w:hint="default" w:eastAsiaTheme="minorEastAsia"/>
          <w:lang w:val="en-US" w:eastAsia="zh-CN"/>
        </w:rPr>
        <w:sectPr>
          <w:footerReference r:id="rId4" w:type="first"/>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方正小标宋简体" w:hAnsi="方正小标宋简体" w:eastAsia="方正小标宋简体" w:cs="方正小标宋简体"/>
          <w:kern w:val="2"/>
          <w:sz w:val="32"/>
          <w:szCs w:val="32"/>
          <w:lang w:val="en-US" w:eastAsia="zh-CN" w:bidi="ar-SA"/>
        </w:rPr>
        <w:id w:val="147473376"/>
        <w15:color w:val="DBDBDB"/>
        <w:docPartObj>
          <w:docPartGallery w:val="Table of Contents"/>
          <w:docPartUnique/>
        </w:docPartObj>
      </w:sdtPr>
      <w:sdtEndPr>
        <w:rPr>
          <w:rFonts w:hint="eastAsia" w:ascii="仿宋" w:hAnsi="仿宋" w:eastAsia="仿宋" w:cs="仿宋"/>
          <w:b w:val="0"/>
          <w:bCs w:val="0"/>
          <w:color w:val="0000FF"/>
          <w:kern w:val="2"/>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atLeast"/>
            <w:textAlignment w:val="auto"/>
            <w:rPr>
              <w:rFonts w:hint="eastAsia" w:ascii="方正小标宋简体" w:eastAsia="方正小标宋简体"/>
              <w:color w:val="auto"/>
              <w:sz w:val="44"/>
              <w:szCs w:val="44"/>
            </w:rPr>
          </w:pPr>
          <w:r>
            <w:rPr>
              <w:rFonts w:hint="eastAsia" w:ascii="仿宋" w:hAnsi="仿宋" w:eastAsia="仿宋" w:cs="仿宋"/>
              <w:b w:val="0"/>
              <w:bCs w:val="0"/>
              <w:color w:val="auto"/>
              <w:sz w:val="24"/>
              <w:szCs w:val="24"/>
              <w:lang w:val="en-US" w:eastAsia="zh-CN"/>
            </w:rPr>
            <w:t>【规范性文件】</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sz w:val="24"/>
              <w:szCs w:val="24"/>
            </w:rPr>
            <w:t>岳阳市云溪区人民政府关于印发《岳阳市云溪区政府性投资项目管理办法》的通知</w:t>
          </w:r>
          <w:r>
            <w:rPr>
              <w:rFonts w:hint="eastAsia" w:ascii="仿宋" w:hAnsi="仿宋" w:eastAsia="仿宋" w:cs="仿宋"/>
              <w:b w:val="0"/>
              <w:bCs w:val="0"/>
              <w:color w:val="auto"/>
              <w:sz w:val="24"/>
              <w:szCs w:val="24"/>
              <w:lang w:eastAsia="zh-CN"/>
            </w:rPr>
            <w:t>（</w:t>
          </w:r>
          <w:r>
            <w:rPr>
              <w:rFonts w:hint="eastAsia" w:ascii="仿宋" w:hAnsi="仿宋" w:eastAsia="仿宋" w:cs="仿宋"/>
              <w:sz w:val="24"/>
              <w:szCs w:val="24"/>
            </w:rPr>
            <w:t>岳云政发〔2025〕2号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3）</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岳阳市云溪区人民政府办公室关于公布规范性文件清理结果的决定</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岳云政办发〔2025〕7号</w:t>
          </w:r>
          <w:r>
            <w:rPr>
              <w:rFonts w:hint="eastAsia" w:ascii="仿宋" w:hAnsi="仿宋" w:eastAsia="仿宋" w:cs="仿宋"/>
              <w:color w:val="000000"/>
              <w:sz w:val="24"/>
              <w:szCs w:val="24"/>
              <w:lang w:val="en-US" w:eastAsia="zh-CN"/>
            </w:rPr>
            <w:t>)</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34）</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 w:hAnsi="仿宋" w:eastAsia="仿宋" w:cs="仿宋"/>
              <w:color w:val="000000"/>
              <w:sz w:val="24"/>
              <w:szCs w:val="24"/>
              <w:lang w:val="en-US" w:eastAsia="zh-CN"/>
            </w:rPr>
          </w:pP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atLeas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【区政府办</w:t>
          </w:r>
          <w:bookmarkStart w:id="21" w:name="_GoBack"/>
          <w:bookmarkEnd w:id="21"/>
          <w:r>
            <w:rPr>
              <w:rFonts w:hint="eastAsia" w:ascii="仿宋" w:hAnsi="仿宋" w:eastAsia="仿宋" w:cs="仿宋"/>
              <w:b w:val="0"/>
              <w:bCs w:val="0"/>
              <w:sz w:val="24"/>
              <w:szCs w:val="24"/>
              <w:lang w:val="en-US" w:eastAsia="zh-CN"/>
            </w:rPr>
            <w:t>文件】</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rPr>
            <w:t>岳阳市云溪区人民政府办公室</w:t>
          </w:r>
          <w:r>
            <w:rPr>
              <w:rFonts w:hint="eastAsia" w:ascii="仿宋" w:hAnsi="仿宋" w:eastAsia="仿宋" w:cs="仿宋"/>
              <w:spacing w:val="-12"/>
              <w:sz w:val="24"/>
              <w:szCs w:val="24"/>
            </w:rPr>
            <w:t>关于建立岳阳市云溪区国家综合性消防救援队伍</w:t>
          </w:r>
          <w:r>
            <w:rPr>
              <w:rFonts w:hint="eastAsia" w:ascii="仿宋" w:hAnsi="仿宋" w:eastAsia="仿宋" w:cs="仿宋"/>
              <w:sz w:val="24"/>
              <w:szCs w:val="24"/>
            </w:rPr>
            <w:t>退出消防员安置工作协作配合机制的通知</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rPr>
            <w:t>岳云政办函〔2025〕5号</w:t>
          </w:r>
          <w:r>
            <w:rPr>
              <w:rFonts w:hint="eastAsia" w:ascii="仿宋" w:hAnsi="仿宋" w:eastAsia="仿宋" w:cs="仿宋"/>
              <w:b w:val="0"/>
              <w:bCs w:val="0"/>
              <w:sz w:val="24"/>
              <w:szCs w:val="24"/>
              <w:lang w:eastAsia="zh-CN"/>
            </w:rPr>
            <w:t>）</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43）</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rPr>
            <w:t>岳阳市云溪区人民政府办公室关于印发岳阳市云溪区人民政府领导成员工作分工的通知</w:t>
          </w:r>
          <w:r>
            <w:rPr>
              <w:rFonts w:hint="eastAsia" w:ascii="仿宋" w:hAnsi="仿宋" w:eastAsia="仿宋" w:cs="仿宋"/>
              <w:b w:val="0"/>
              <w:bCs w:val="0"/>
              <w:sz w:val="24"/>
              <w:szCs w:val="24"/>
              <w:lang w:eastAsia="zh-CN"/>
            </w:rPr>
            <w:t>（</w:t>
          </w:r>
          <w:r>
            <w:rPr>
              <w:rFonts w:hint="eastAsia" w:ascii="仿宋" w:hAnsi="仿宋" w:eastAsia="仿宋" w:cs="仿宋"/>
              <w:sz w:val="24"/>
              <w:szCs w:val="24"/>
            </w:rPr>
            <w:t>岳云政办函〔2025〕8号</w:t>
          </w:r>
          <w:r>
            <w:rPr>
              <w:rFonts w:hint="eastAsia" w:ascii="仿宋" w:hAnsi="仿宋" w:eastAsia="仿宋" w:cs="仿宋"/>
              <w:b w:val="0"/>
              <w:bCs w:val="0"/>
              <w:sz w:val="24"/>
              <w:szCs w:val="24"/>
              <w:lang w:eastAsia="zh-CN"/>
            </w:rPr>
            <w:t>）</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47）</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rPr>
            <w:t>岳阳市云溪区人民政府办公室关于公布2025年度云溪区人民政府重大行政决策事项目录的通知</w:t>
          </w:r>
          <w:r>
            <w:rPr>
              <w:rFonts w:hint="eastAsia" w:ascii="仿宋" w:hAnsi="仿宋" w:eastAsia="仿宋" w:cs="仿宋"/>
              <w:b w:val="0"/>
              <w:bCs w:val="0"/>
              <w:sz w:val="24"/>
              <w:szCs w:val="24"/>
              <w:lang w:eastAsia="zh-CN"/>
            </w:rPr>
            <w:t>（</w:t>
          </w:r>
          <w:r>
            <w:rPr>
              <w:rFonts w:hint="eastAsia" w:ascii="仿宋" w:hAnsi="仿宋" w:eastAsia="仿宋" w:cs="仿宋"/>
              <w:sz w:val="24"/>
              <w:szCs w:val="24"/>
            </w:rPr>
            <w:t>岳云政办函〔2025〕9号</w:t>
          </w:r>
          <w:r>
            <w:rPr>
              <w:rFonts w:hint="eastAsia" w:ascii="仿宋" w:hAnsi="仿宋" w:eastAsia="仿宋" w:cs="仿宋"/>
              <w:b w:val="0"/>
              <w:bCs w:val="0"/>
              <w:sz w:val="24"/>
              <w:szCs w:val="24"/>
              <w:lang w:eastAsia="zh-CN"/>
            </w:rPr>
            <w:t>）</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51）</w:t>
          </w:r>
        </w:p>
        <w:p>
          <w:pPr>
            <w:keepNext w:val="0"/>
            <w:keepLines w:val="0"/>
            <w:pageBreakBefore w:val="0"/>
            <w:widowControl/>
            <w:tabs>
              <w:tab w:val="right" w:leader="dot" w:pos="8306"/>
            </w:tabs>
            <w:kinsoku/>
            <w:wordWrap/>
            <w:overflowPunct/>
            <w:topLinePunct w:val="0"/>
            <w:autoSpaceDE/>
            <w:autoSpaceDN/>
            <w:bidi w:val="0"/>
            <w:adjustRightInd/>
            <w:snapToGrid/>
            <w:spacing w:line="560" w:lineRule="atLeast"/>
            <w:ind w:leftChars="0"/>
            <w:textAlignment w:val="auto"/>
            <w:rPr>
              <w:rFonts w:hint="eastAsia" w:ascii="仿宋_GB2312" w:hAnsi="Times New Roman" w:eastAsia="仿宋_GB2312" w:cs="Times New Roman"/>
              <w:color w:val="0000FF"/>
              <w:sz w:val="32"/>
              <w:szCs w:val="32"/>
            </w:rPr>
          </w:pPr>
          <w:r>
            <w:rPr>
              <w:rFonts w:hint="eastAsia" w:ascii="仿宋" w:hAnsi="仿宋" w:eastAsia="仿宋" w:cs="仿宋"/>
              <w:sz w:val="24"/>
              <w:szCs w:val="24"/>
            </w:rPr>
            <w:t>岳阳市云溪区人民政府办公室</w:t>
          </w:r>
          <w:r>
            <w:rPr>
              <w:rFonts w:hint="eastAsia" w:ascii="仿宋" w:hAnsi="仿宋" w:eastAsia="仿宋" w:cs="仿宋"/>
              <w:spacing w:val="4"/>
              <w:sz w:val="24"/>
              <w:szCs w:val="24"/>
            </w:rPr>
            <w:t>关于认真做好2025年省市区重点民生实事工作的通知</w:t>
          </w:r>
          <w:r>
            <w:rPr>
              <w:rFonts w:hint="eastAsia" w:ascii="仿宋" w:hAnsi="仿宋" w:eastAsia="仿宋" w:cs="仿宋"/>
              <w:spacing w:val="4"/>
              <w:sz w:val="24"/>
              <w:szCs w:val="24"/>
              <w:lang w:val="en-US" w:eastAsia="zh-CN"/>
            </w:rPr>
            <w:t>(</w:t>
          </w:r>
          <w:r>
            <w:rPr>
              <w:rFonts w:hint="eastAsia" w:ascii="仿宋" w:hAnsi="仿宋" w:eastAsia="仿宋" w:cs="仿宋"/>
              <w:sz w:val="24"/>
              <w:szCs w:val="24"/>
            </w:rPr>
            <w:t>岳云政办函〔2025〕10号</w:t>
          </w:r>
          <w:r>
            <w:rPr>
              <w:rFonts w:hint="eastAsia" w:ascii="仿宋" w:hAnsi="仿宋" w:eastAsia="仿宋" w:cs="仿宋"/>
              <w:spacing w:val="4"/>
              <w:sz w:val="24"/>
              <w:szCs w:val="24"/>
              <w:lang w:val="en-US" w:eastAsia="zh-CN"/>
            </w:rPr>
            <w:t>)</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54）</w:t>
          </w:r>
        </w:p>
        <w:p>
          <w:pPr>
            <w:jc w:val="left"/>
            <w:rPr>
              <w:rFonts w:hint="default" w:ascii="仿宋" w:hAnsi="仿宋" w:eastAsia="仿宋" w:cs="仿宋"/>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560" w:lineRule="atLeast"/>
            <w:jc w:val="both"/>
            <w:textAlignment w:val="auto"/>
            <w:rPr>
              <w:rFonts w:hint="eastAsia" w:ascii="仿宋_GB2312" w:hAnsi="Times New Roman" w:eastAsia="仿宋_GB2312" w:cs="Times New Roman"/>
              <w:color w:val="0000FF"/>
              <w:sz w:val="32"/>
              <w:szCs w:val="32"/>
            </w:rPr>
          </w:pPr>
        </w:p>
        <w:p>
          <w:pPr>
            <w:spacing w:line="640" w:lineRule="exact"/>
            <w:jc w:val="both"/>
            <w:rPr>
              <w:rFonts w:hint="eastAsia" w:ascii="仿宋" w:hAnsi="仿宋" w:eastAsia="仿宋" w:cs="仿宋"/>
              <w:b w:val="0"/>
              <w:bCs w:val="0"/>
              <w:color w:val="0000FF"/>
              <w:kern w:val="2"/>
              <w:sz w:val="24"/>
              <w:szCs w:val="24"/>
              <w:lang w:val="en-US" w:eastAsia="zh-CN" w:bidi="ar-SA"/>
            </w:rPr>
          </w:pPr>
        </w:p>
      </w:sdtContent>
    </w:sdt>
    <w:p>
      <w:pPr>
        <w:bidi w:val="0"/>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sectPr>
          <w:headerReference r:id="rId5" w:type="default"/>
          <w:footerReference r:id="rId6" w:type="default"/>
          <w:pgSz w:w="11907" w:h="16840"/>
          <w:pgMar w:top="1531" w:right="1531" w:bottom="1531" w:left="1531" w:header="851" w:footer="1247" w:gutter="0"/>
          <w:cols w:space="720" w:num="1"/>
          <w:docGrid w:type="lines" w:linePitch="312" w:charSpace="0"/>
        </w:sectPr>
      </w:pPr>
    </w:p>
    <w:p>
      <w:pPr>
        <w:pStyle w:val="4"/>
        <w:spacing w:line="560" w:lineRule="exact"/>
        <w:jc w:val="both"/>
        <w:rPr>
          <w:rStyle w:val="8"/>
          <w:rFonts w:hint="eastAsia" w:ascii="黑体" w:hAnsi="宋体" w:eastAsia="黑体" w:cs="微软雅黑"/>
          <w:b w:val="0"/>
          <w:color w:val="010101"/>
          <w:sz w:val="32"/>
          <w:szCs w:val="32"/>
        </w:rPr>
      </w:pPr>
    </w:p>
    <w:p>
      <w:pPr>
        <w:pStyle w:val="4"/>
        <w:spacing w:line="560" w:lineRule="exact"/>
        <w:jc w:val="both"/>
        <w:rPr>
          <w:rStyle w:val="8"/>
          <w:rFonts w:hint="eastAsia" w:ascii="黑体" w:hAnsi="黑体" w:eastAsia="黑体" w:cs="黑体"/>
          <w:b w:val="0"/>
          <w:color w:val="010101"/>
          <w:sz w:val="32"/>
          <w:szCs w:val="32"/>
        </w:rPr>
      </w:pPr>
      <w:r>
        <w:rPr>
          <w:rStyle w:val="8"/>
          <w:rFonts w:hint="eastAsia" w:ascii="黑体" w:hAnsi="黑体" w:eastAsia="黑体" w:cs="黑体"/>
          <w:b w:val="0"/>
          <w:color w:val="010101"/>
          <w:sz w:val="32"/>
          <w:szCs w:val="32"/>
        </w:rPr>
        <w:t>YXDR—2025—00001</w:t>
      </w:r>
    </w:p>
    <w:p>
      <w:pPr>
        <w:pStyle w:val="4"/>
        <w:spacing w:line="560" w:lineRule="exact"/>
        <w:jc w:val="center"/>
        <w:rPr>
          <w:rStyle w:val="8"/>
          <w:rFonts w:ascii="方正小标宋简体" w:hAnsi="宋体" w:eastAsia="方正小标宋简体" w:cs="微软雅黑"/>
          <w:b w:val="0"/>
          <w:color w:val="010101"/>
          <w:sz w:val="44"/>
          <w:szCs w:val="44"/>
        </w:rPr>
      </w:pPr>
    </w:p>
    <w:p>
      <w:pPr>
        <w:pStyle w:val="4"/>
        <w:spacing w:line="560" w:lineRule="exact"/>
        <w:jc w:val="center"/>
        <w:rPr>
          <w:rStyle w:val="8"/>
          <w:rFonts w:hint="eastAsia" w:ascii="楷体" w:hAnsi="楷体" w:eastAsia="楷体" w:cs="楷体"/>
          <w:b w:val="0"/>
          <w:color w:val="010101"/>
          <w:sz w:val="44"/>
          <w:szCs w:val="44"/>
        </w:rPr>
      </w:pPr>
    </w:p>
    <w:p>
      <w:pPr>
        <w:pStyle w:val="4"/>
        <w:spacing w:before="249" w:beforeLines="80" w:line="560" w:lineRule="exact"/>
        <w:jc w:val="center"/>
        <w:rPr>
          <w:rStyle w:val="8"/>
          <w:rFonts w:hint="eastAsia" w:ascii="方正小标宋简体" w:hAnsi="宋体" w:eastAsia="方正小标宋简体" w:cs="微软雅黑"/>
          <w:b w:val="0"/>
          <w:color w:val="010101"/>
          <w:sz w:val="44"/>
          <w:szCs w:val="44"/>
        </w:rPr>
      </w:pPr>
    </w:p>
    <w:p>
      <w:pPr>
        <w:pStyle w:val="4"/>
        <w:spacing w:before="124" w:beforeLines="40" w:line="560" w:lineRule="exact"/>
        <w:jc w:val="center"/>
        <w:rPr>
          <w:rStyle w:val="8"/>
          <w:rFonts w:hint="eastAsia" w:ascii="方正小标宋简体" w:hAnsi="宋体" w:eastAsia="方正小标宋简体" w:cs="微软雅黑"/>
          <w:b w:val="0"/>
          <w:color w:val="010101"/>
          <w:sz w:val="44"/>
          <w:szCs w:val="44"/>
        </w:rPr>
      </w:pPr>
    </w:p>
    <w:p>
      <w:pPr>
        <w:spacing w:line="560" w:lineRule="exact"/>
        <w:jc w:val="center"/>
        <w:rPr>
          <w:rFonts w:hint="eastAsia" w:ascii="仿宋_GB2312" w:eastAsia="仿宋_GB2312"/>
          <w:sz w:val="32"/>
          <w:szCs w:val="32"/>
        </w:rPr>
      </w:pPr>
      <w:r>
        <w:rPr>
          <w:rFonts w:hint="eastAsia" w:ascii="仿宋_GB2312" w:eastAsia="仿宋_GB2312"/>
          <w:sz w:val="32"/>
          <w:szCs w:val="32"/>
        </w:rPr>
        <w:t>岳云政发〔2025〕2号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岳阳市云溪区人民政府</w:t>
      </w:r>
    </w:p>
    <w:p>
      <w:pPr>
        <w:spacing w:line="600" w:lineRule="exact"/>
        <w:jc w:val="center"/>
        <w:rPr>
          <w:rFonts w:hint="eastAsia" w:ascii="方正小标宋简体" w:eastAsia="方正小标宋简体"/>
          <w:sz w:val="44"/>
          <w:szCs w:val="44"/>
        </w:rPr>
      </w:pPr>
      <w:bookmarkStart w:id="1" w:name="OLE_LINK1"/>
      <w:r>
        <w:rPr>
          <w:rFonts w:hint="eastAsia" w:ascii="方正小标宋简体" w:eastAsia="方正小标宋简体"/>
          <w:sz w:val="44"/>
          <w:szCs w:val="44"/>
        </w:rPr>
        <w:t>关于印发《岳阳市云溪区政府性投资项目</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管理办法》的通知</w:t>
      </w:r>
    </w:p>
    <w:bookmarkEnd w:id="1"/>
    <w:p>
      <w:pPr>
        <w:ind w:firstLine="640"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pacing w:val="6"/>
          <w:sz w:val="32"/>
          <w:szCs w:val="32"/>
        </w:rPr>
        <w:t>各镇人民政府、街道办事处，绿色化工高新区管委会，区直及驻区</w:t>
      </w:r>
      <w:r>
        <w:rPr>
          <w:rFonts w:hint="eastAsia" w:ascii="仿宋_GB2312" w:eastAsia="仿宋_GB2312"/>
          <w:sz w:val="32"/>
          <w:szCs w:val="32"/>
        </w:rPr>
        <w:t>有关单位：</w:t>
      </w:r>
    </w:p>
    <w:p>
      <w:pPr>
        <w:ind w:firstLine="640" w:firstLineChars="200"/>
        <w:rPr>
          <w:rFonts w:hint="eastAsia" w:ascii="仿宋_GB2312" w:eastAsia="仿宋_GB2312"/>
          <w:sz w:val="32"/>
          <w:szCs w:val="32"/>
        </w:rPr>
      </w:pPr>
      <w:r>
        <w:rPr>
          <w:rFonts w:hint="eastAsia" w:ascii="仿宋_GB2312" w:eastAsia="仿宋_GB2312"/>
          <w:sz w:val="32"/>
          <w:szCs w:val="32"/>
        </w:rPr>
        <w:t>《岳阳市云溪区政府性投资项目管理办法》已经区人民政府常务会议研究通过，现予印发，请认真遵照执行。原《岳阳市云溪区政府性投资项目管理办法》（岳云政发〔2022〕2号）废止。</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600" w:lineRule="exact"/>
        <w:ind w:firstLine="4745" w:firstLineChars="1483"/>
        <w:rPr>
          <w:rFonts w:hint="eastAsia" w:ascii="仿宋_GB2312" w:eastAsia="仿宋_GB2312"/>
          <w:sz w:val="32"/>
          <w:szCs w:val="32"/>
        </w:rPr>
      </w:pPr>
      <w:r>
        <w:rPr>
          <w:rFonts w:hint="eastAsia" w:ascii="仿宋_GB2312" w:eastAsia="仿宋_GB2312"/>
          <w:sz w:val="32"/>
          <w:szCs w:val="32"/>
        </w:rPr>
        <w:t>岳阳市云溪区人民政府</w:t>
      </w:r>
    </w:p>
    <w:p>
      <w:pPr>
        <w:spacing w:line="600" w:lineRule="exact"/>
        <w:ind w:right="1260" w:rightChars="600"/>
        <w:jc w:val="right"/>
        <w:rPr>
          <w:rFonts w:ascii="仿宋_GB2312" w:eastAsia="仿宋_GB2312"/>
          <w:sz w:val="32"/>
          <w:szCs w:val="32"/>
        </w:rPr>
      </w:pPr>
      <w:r>
        <w:rPr>
          <w:rFonts w:hint="eastAsia" w:ascii="仿宋_GB2312" w:eastAsia="仿宋_GB2312"/>
          <w:sz w:val="32"/>
          <w:szCs w:val="32"/>
        </w:rPr>
        <w:t>2025年4月14日</w:t>
      </w:r>
    </w:p>
    <w:p>
      <w:pPr>
        <w:spacing w:line="600" w:lineRule="exact"/>
        <w:jc w:val="center"/>
        <w:rPr>
          <w:rFonts w:hint="eastAsia" w:ascii="方正小标宋简体" w:eastAsia="方正小标宋简体"/>
          <w:color w:val="000000"/>
          <w:spacing w:val="6"/>
          <w:sz w:val="44"/>
          <w:szCs w:val="44"/>
        </w:rPr>
      </w:pPr>
      <w:r>
        <w:rPr>
          <w:rFonts w:ascii="仿宋_GB2312" w:eastAsia="仿宋_GB2312"/>
          <w:sz w:val="32"/>
          <w:szCs w:val="32"/>
        </w:rPr>
        <w:br w:type="page"/>
      </w:r>
      <w:r>
        <w:rPr>
          <w:rFonts w:hint="eastAsia" w:ascii="方正小标宋简体" w:eastAsia="方正小标宋简体"/>
          <w:color w:val="000000"/>
          <w:spacing w:val="6"/>
          <w:sz w:val="44"/>
          <w:szCs w:val="44"/>
        </w:rPr>
        <w:t>岳阳市云溪区政府性投资项目管理办法</w:t>
      </w:r>
    </w:p>
    <w:p>
      <w:pPr>
        <w:spacing w:line="600" w:lineRule="exact"/>
        <w:jc w:val="center"/>
        <w:rPr>
          <w:rFonts w:hint="eastAsia" w:ascii="黑体" w:hAnsi="黑体" w:eastAsia="黑体"/>
          <w:color w:val="000000"/>
          <w:sz w:val="32"/>
          <w:szCs w:val="32"/>
        </w:rPr>
      </w:pPr>
    </w:p>
    <w:p>
      <w:pPr>
        <w:spacing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第一章</w:t>
      </w:r>
      <w:r>
        <w:rPr>
          <w:rFonts w:hint="eastAsia" w:ascii="黑体" w:eastAsia="黑体"/>
          <w:color w:val="000000"/>
          <w:sz w:val="32"/>
          <w:szCs w:val="32"/>
        </w:rPr>
        <w:t xml:space="preserve">  </w:t>
      </w:r>
      <w:r>
        <w:rPr>
          <w:rFonts w:hint="eastAsia" w:ascii="黑体" w:hAnsi="黑体" w:eastAsia="黑体"/>
          <w:color w:val="000000"/>
          <w:sz w:val="32"/>
          <w:szCs w:val="32"/>
        </w:rPr>
        <w:t>总则</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第一条</w:t>
      </w:r>
      <w:r>
        <w:rPr>
          <w:rFonts w:hint="eastAsia" w:ascii="仿宋_GB2312" w:eastAsia="仿宋_GB2312"/>
          <w:color w:val="000000"/>
          <w:sz w:val="32"/>
          <w:szCs w:val="32"/>
        </w:rPr>
        <w:t xml:space="preserve">  为规范区政府性投资项目管理，建立健全科学的政府性投资项目决策、建设和监管机制，提高政府投资项目管理水平和效益，根据《中华人民共和国招标投标法》《中华人民共和国招标投标法实施条例》《中华人民共和国政府采购法》《政府投资条例》《必须招标的工程项目规定》等法律、法规及文件规定，结合我区实际，制定本办法。</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第二条</w:t>
      </w:r>
      <w:r>
        <w:rPr>
          <w:rFonts w:hint="eastAsia" w:ascii="仿宋_GB2312" w:eastAsia="仿宋_GB2312"/>
          <w:color w:val="000000"/>
          <w:sz w:val="32"/>
          <w:szCs w:val="32"/>
        </w:rPr>
        <w:t xml:space="preserve">  区政府性投资项目，是指全部使用财政性资金（含区级预算资金、中央和省市投资补助、政府专项建设基金、主权外债资金，以及以区级财政资金为还款来源的借贷资金）或财政性资金占主导地位的工程建设、货物采购和购买服务类投资项目（含依法由政府兜底的公益建设项目）。</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第三条</w:t>
      </w:r>
      <w:r>
        <w:rPr>
          <w:rFonts w:hint="eastAsia" w:ascii="仿宋_GB2312" w:eastAsia="仿宋_GB2312"/>
          <w:color w:val="000000"/>
          <w:sz w:val="32"/>
          <w:szCs w:val="32"/>
        </w:rPr>
        <w:t xml:space="preserve">  区政府性投资项目投资管控应遵循下列原则：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1.程序规范，依法实施。依次推进项目储备、可行性研究报告审批、初步设计及概算审批、施工图及预算审查、工程招投标、工程规划许可、施工许可、开工建设、竣工验收、工程结（决）算、移交接管等环节。</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2.问题导向，全程管控。针对技术脱节、责任缺失、随意变更等突出问题靶向施策、精准管控。加强项目投资各环节闭环管理，健全“估算控制概算，概算控制预算，预算控制结算”管理体系。</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职责明晰，失职倒查。按照“谁投资、谁负责，谁服务、谁负责，谁主管、谁负责”的原则，严格落实项目建设单位、技术经济服务单位、审查审批部门相应责任，建立责任倒查追究机制，以全过程责任落实倒逼投资管控到位。</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color w:val="000000"/>
          <w:sz w:val="32"/>
          <w:szCs w:val="32"/>
        </w:rPr>
        <w:t>第四条</w:t>
      </w:r>
      <w:r>
        <w:rPr>
          <w:rFonts w:hint="eastAsia" w:ascii="仿宋_GB2312" w:eastAsia="仿宋_GB2312"/>
          <w:color w:val="000000"/>
          <w:sz w:val="32"/>
          <w:szCs w:val="32"/>
        </w:rPr>
        <w:t xml:space="preserve">  建立政府主导、部门协作的工作运行机制。区</w:t>
      </w:r>
      <w:r>
        <w:rPr>
          <w:rFonts w:hint="eastAsia" w:ascii="仿宋_GB2312" w:eastAsia="仿宋_GB2312"/>
          <w:bCs/>
          <w:color w:val="000000"/>
          <w:sz w:val="32"/>
          <w:szCs w:val="32"/>
        </w:rPr>
        <w:t>重点项目服务中心负责全区重点项目建设全过程的统筹、协调、监督、管理；负责对全区工程类项目前期服务费进行审核；牵头组织开展全区重点项目管理年度绩效评价；牵头组织开展全区重点项目变更管理和大宗采购洽谈、询价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发改部门牵头负责区政府性投资项目的立项审批、概算审查、招投标监管；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财政部门负责项目资金管理和拨付、账务核算及结算、存档和财政评审及政府采购工作；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审计部门按照上级要求和区政府安排，负责对区政府性投资项目的总预算或概算的执行情况、单项工程结算、竣工决算进行全过程审计监督、稽查工作；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司法行政部门负责对施工合同进行合法性审查；</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房屋建筑及市政基础设施类、交通类、水利类、农林类、能源类、环保类、社会事业类等区政府性投资项目</w:t>
      </w:r>
      <w:r>
        <w:rPr>
          <w:rFonts w:hint="eastAsia" w:ascii="仿宋_GB2312" w:eastAsia="仿宋_GB2312"/>
          <w:color w:val="000000"/>
          <w:sz w:val="32"/>
          <w:szCs w:val="32"/>
        </w:rPr>
        <w:t>，按项目属性由住建、交通、水利</w:t>
      </w:r>
      <w:r>
        <w:rPr>
          <w:rFonts w:hint="eastAsia" w:ascii="仿宋_GB2312" w:eastAsia="仿宋_GB2312"/>
          <w:bCs/>
          <w:color w:val="000000"/>
          <w:sz w:val="32"/>
          <w:szCs w:val="32"/>
        </w:rPr>
        <w:t>等</w:t>
      </w:r>
      <w:r>
        <w:rPr>
          <w:rFonts w:hint="eastAsia" w:ascii="仿宋_GB2312" w:eastAsia="仿宋_GB2312"/>
          <w:color w:val="000000"/>
          <w:sz w:val="32"/>
          <w:szCs w:val="32"/>
        </w:rPr>
        <w:t>行业主管部门负责项目组织实施及全过程技术经济审查、投资、招投标、质量、安全监管。</w:t>
      </w:r>
    </w:p>
    <w:p>
      <w:pPr>
        <w:spacing w:before="156" w:beforeLines="50"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第二章</w:t>
      </w:r>
      <w:r>
        <w:rPr>
          <w:rFonts w:hint="eastAsia" w:ascii="黑体" w:eastAsia="黑体"/>
          <w:color w:val="000000"/>
          <w:sz w:val="32"/>
          <w:szCs w:val="32"/>
        </w:rPr>
        <w:t xml:space="preserve">  </w:t>
      </w:r>
      <w:r>
        <w:rPr>
          <w:rFonts w:hint="eastAsia" w:ascii="黑体" w:hAnsi="黑体" w:eastAsia="黑体"/>
          <w:color w:val="000000"/>
          <w:sz w:val="32"/>
          <w:szCs w:val="32"/>
        </w:rPr>
        <w:t>项目计划管理</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第五条</w:t>
      </w:r>
      <w:r>
        <w:rPr>
          <w:rFonts w:hint="eastAsia" w:ascii="仿宋_GB2312" w:eastAsia="仿宋_GB2312"/>
          <w:color w:val="000000"/>
          <w:sz w:val="32"/>
          <w:szCs w:val="32"/>
        </w:rPr>
        <w:t xml:space="preserve">  区政府性投资项目实行项目储备制，</w:t>
      </w:r>
      <w:r>
        <w:rPr>
          <w:rFonts w:hint="eastAsia" w:ascii="仿宋_GB2312" w:eastAsia="仿宋_GB2312"/>
          <w:bCs/>
          <w:color w:val="000000"/>
          <w:sz w:val="32"/>
          <w:szCs w:val="32"/>
        </w:rPr>
        <w:t>应当遵循科学民主决策、注重绩效、公开透明原则，</w:t>
      </w:r>
      <w:r>
        <w:rPr>
          <w:rFonts w:hint="eastAsia" w:ascii="仿宋_GB2312" w:eastAsia="仿宋_GB2312"/>
          <w:color w:val="000000"/>
          <w:sz w:val="32"/>
          <w:szCs w:val="32"/>
        </w:rPr>
        <w:t>由发改部门牵头、行业主管部门申报，根据国民经济和社会发展规划，结合财政收支状况，统筹建立区政府性投资项目三年滚动储备库。绿色化工高新区项目计划管理按园区领导小组议事规程决定。</w:t>
      </w:r>
    </w:p>
    <w:p>
      <w:pPr>
        <w:spacing w:line="600" w:lineRule="exact"/>
        <w:ind w:firstLine="643" w:firstLineChars="200"/>
        <w:rPr>
          <w:rFonts w:hint="eastAsia" w:ascii="黑体" w:eastAsia="黑体"/>
          <w:color w:val="000000"/>
          <w:spacing w:val="-2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区政府性投资项目实行年度计划管理。按《关于进一步加强区本级政府投资项目审批和概算管理的通知》（岳云政发〔2021〕2号）要求，</w:t>
      </w:r>
      <w:r>
        <w:rPr>
          <w:rFonts w:hint="eastAsia" w:ascii="仿宋_GB2312" w:eastAsia="仿宋_GB2312"/>
          <w:color w:val="000000"/>
          <w:spacing w:val="-4"/>
          <w:sz w:val="32"/>
          <w:szCs w:val="32"/>
        </w:rPr>
        <w:t>发改部门牵头,会同财政及各行业主管部门,科学合理编制区政府性投资项目年度投资计划。区直各单位应在每年</w:t>
      </w:r>
      <w:r>
        <w:rPr>
          <w:rFonts w:hint="eastAsia" w:ascii="仿宋_GB2312" w:eastAsia="仿宋_GB2312"/>
          <w:bCs/>
          <w:color w:val="000000"/>
          <w:spacing w:val="-4"/>
          <w:sz w:val="32"/>
          <w:szCs w:val="32"/>
        </w:rPr>
        <w:t>11月</w:t>
      </w:r>
      <w:r>
        <w:rPr>
          <w:rFonts w:hint="eastAsia" w:ascii="仿宋_GB2312" w:eastAsia="仿宋_GB2312"/>
          <w:color w:val="000000"/>
          <w:spacing w:val="-4"/>
          <w:sz w:val="32"/>
          <w:szCs w:val="32"/>
        </w:rPr>
        <w:t>底前提出下一年度拟建项目投资计划，报送</w:t>
      </w:r>
      <w:r>
        <w:rPr>
          <w:rFonts w:hint="eastAsia" w:ascii="仿宋_GB2312" w:eastAsia="仿宋_GB2312"/>
          <w:bCs/>
          <w:color w:val="000000"/>
          <w:spacing w:val="-4"/>
          <w:sz w:val="32"/>
          <w:szCs w:val="32"/>
        </w:rPr>
        <w:t>区重点项目服务中心</w:t>
      </w:r>
      <w:r>
        <w:rPr>
          <w:rFonts w:hint="eastAsia" w:ascii="仿宋_GB2312" w:eastAsia="仿宋_GB2312"/>
          <w:color w:val="000000"/>
          <w:spacing w:val="-4"/>
          <w:sz w:val="32"/>
          <w:szCs w:val="32"/>
        </w:rPr>
        <w:t>初审汇总，编制区政府性投资项目年度投资计划草案，按程序报批审定。拟纳入年度投资计划的项目原则上从三年滚动储备库中选取，未纳入年度投资计划的项目，原则上不办理立项、不安排建设资金和用</w:t>
      </w:r>
      <w:r>
        <w:rPr>
          <w:rFonts w:hint="eastAsia" w:ascii="仿宋_GB2312" w:eastAsia="仿宋_GB2312"/>
          <w:color w:val="000000"/>
          <w:sz w:val="32"/>
          <w:szCs w:val="32"/>
        </w:rPr>
        <w:t>地指标。对中途增补的必办民生实事，报区政府审定，一事一议。发改、财政、审计、</w:t>
      </w:r>
      <w:r>
        <w:rPr>
          <w:rFonts w:hint="eastAsia" w:ascii="仿宋_GB2312" w:eastAsia="仿宋_GB2312"/>
          <w:bCs/>
          <w:color w:val="000000"/>
          <w:sz w:val="32"/>
          <w:szCs w:val="32"/>
        </w:rPr>
        <w:t>重点项目服务</w:t>
      </w:r>
      <w:r>
        <w:rPr>
          <w:rFonts w:hint="eastAsia" w:ascii="仿宋_GB2312" w:eastAsia="仿宋_GB2312"/>
          <w:color w:val="000000"/>
          <w:sz w:val="32"/>
          <w:szCs w:val="32"/>
        </w:rPr>
        <w:t>等部门要加强对区政府性投资项目年度投资计划执行情况的监管，确保年度计划如期完成</w:t>
      </w:r>
      <w:r>
        <w:rPr>
          <w:rFonts w:hint="eastAsia" w:ascii="仿宋_GB2312" w:eastAsia="仿宋_GB2312"/>
          <w:color w:val="000000"/>
          <w:spacing w:val="-20"/>
          <w:sz w:val="32"/>
          <w:szCs w:val="32"/>
        </w:rPr>
        <w:t>。</w:t>
      </w:r>
    </w:p>
    <w:p>
      <w:pPr>
        <w:spacing w:before="156" w:beforeLines="50"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第三章</w:t>
      </w:r>
      <w:r>
        <w:rPr>
          <w:rFonts w:hint="eastAsia" w:ascii="黑体" w:eastAsia="黑体"/>
          <w:color w:val="000000"/>
          <w:sz w:val="32"/>
          <w:szCs w:val="32"/>
        </w:rPr>
        <w:t xml:space="preserve">  </w:t>
      </w:r>
      <w:r>
        <w:rPr>
          <w:rFonts w:hint="eastAsia" w:ascii="黑体" w:hAnsi="黑体" w:eastAsia="黑体"/>
          <w:color w:val="000000"/>
          <w:sz w:val="32"/>
          <w:szCs w:val="32"/>
        </w:rPr>
        <w:t>项目审批管理</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w:t>
      </w:r>
      <w:r>
        <w:rPr>
          <w:rFonts w:hint="eastAsia" w:ascii="仿宋_GB2312" w:eastAsia="仿宋_GB2312"/>
          <w:bCs/>
          <w:color w:val="000000"/>
          <w:sz w:val="32"/>
          <w:szCs w:val="32"/>
        </w:rPr>
        <w:t>严格按照《政府投资条例》及省、市相关文件规定，除涉及国家秘密的项目外，投资主管部门和其他有关部门应当通过湖南省投资项目在线审批监管平台，使用在线平台生成的项目代码办理政府投资项目审批手续。</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w:t>
      </w:r>
      <w:r>
        <w:rPr>
          <w:rFonts w:hint="eastAsia" w:ascii="仿宋_GB2312" w:eastAsia="仿宋_GB2312"/>
          <w:bCs/>
          <w:color w:val="000000"/>
          <w:sz w:val="32"/>
          <w:szCs w:val="32"/>
        </w:rPr>
        <w:t>项目开工前审批按照项目立项审批、初步设计审批、概算审批、施工图联合审查、施工许可证审批五大流程</w:t>
      </w:r>
      <w:r>
        <w:rPr>
          <w:rFonts w:hint="eastAsia" w:ascii="仿宋_GB2312" w:eastAsia="仿宋_GB2312"/>
          <w:color w:val="000000"/>
          <w:sz w:val="32"/>
          <w:szCs w:val="32"/>
        </w:rPr>
        <w:t>，</w:t>
      </w:r>
      <w:r>
        <w:rPr>
          <w:rFonts w:hint="eastAsia" w:ascii="仿宋_GB2312" w:eastAsia="仿宋_GB2312"/>
          <w:bCs/>
          <w:color w:val="000000"/>
          <w:sz w:val="32"/>
          <w:szCs w:val="32"/>
        </w:rPr>
        <w:t>根据</w:t>
      </w:r>
      <w:r>
        <w:rPr>
          <w:rFonts w:hint="eastAsia" w:ascii="仿宋_GB2312" w:eastAsia="仿宋_GB2312"/>
          <w:color w:val="000000"/>
          <w:sz w:val="32"/>
          <w:szCs w:val="32"/>
        </w:rPr>
        <w:t>工程建设项目审批制度改革要求，分行业主管职责明确牵头部门，推进并联审批。进一步规范各部门审批权限和审批程序，各审批环节有关审批事项及时限要求，一律在湖南省投资项目在线审批监管平台（湖南省工程建设项目审批管理系统）办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（一）立项审批。由发改部门牵头，审批的内容及流程为：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1.发改部门在受理可行性研究报告报批文件时，申报单位应完成前置审批部门项目审查评估，在前置审批部门完成审查后作出批复。所有政府性投资项目立项审批须由财政部门出具资金来源证明、</w:t>
      </w:r>
      <w:r>
        <w:rPr>
          <w:rFonts w:hint="eastAsia" w:ascii="仿宋_GB2312" w:eastAsia="仿宋_GB2312"/>
          <w:bCs/>
          <w:color w:val="000000"/>
          <w:sz w:val="32"/>
          <w:szCs w:val="32"/>
        </w:rPr>
        <w:t>涉及建设项目的须由自然资源部门出具用地或选址规划意见</w:t>
      </w:r>
      <w:r>
        <w:rPr>
          <w:rFonts w:hint="eastAsia" w:ascii="仿宋_GB2312" w:eastAsia="仿宋_GB2312"/>
          <w:color w:val="000000"/>
          <w:sz w:val="32"/>
          <w:szCs w:val="32"/>
        </w:rPr>
        <w:t>，涉及到相关行业主管部门的还应由相关行业主管部门出具意见。</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2.本流程前置审批部门包括区财政、自然资源、生态环境、发改、水利等部门</w:t>
      </w:r>
      <w:r>
        <w:rPr>
          <w:rFonts w:hint="eastAsia" w:ascii="仿宋_GB2312" w:eastAsia="仿宋_GB2312"/>
          <w:color w:val="000000"/>
          <w:sz w:val="32"/>
          <w:szCs w:val="32"/>
        </w:rPr>
        <w:t>及根据法律法规规定需参与的其他相关部门。涉及建设项目选址及用地预审意见</w:t>
      </w:r>
      <w:r>
        <w:rPr>
          <w:rFonts w:hint="eastAsia" w:ascii="仿宋_GB2312" w:eastAsia="仿宋_GB2312"/>
          <w:bCs/>
          <w:color w:val="000000"/>
          <w:sz w:val="32"/>
          <w:szCs w:val="32"/>
        </w:rPr>
        <w:t>和涉及林业保护审查</w:t>
      </w:r>
      <w:r>
        <w:rPr>
          <w:rFonts w:hint="eastAsia" w:ascii="仿宋_GB2312" w:eastAsia="仿宋_GB2312"/>
          <w:color w:val="000000"/>
          <w:sz w:val="32"/>
          <w:szCs w:val="32"/>
        </w:rPr>
        <w:t>由自然资源部门出具；涉及建设项目环境影响评价文件审查意见由生态环境部门出具；涉及节能评估审查意见由发改部门出具；涉及资金安排或资金来源审查的由财政部门出具；涉及水土保持、防洪影响的审查由水利部门出具。</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3.本流程所有前置条件实行并联审批，同步办理。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（二）项目初步设计概算审查。分为</w:t>
      </w:r>
      <w:r>
        <w:rPr>
          <w:rFonts w:hint="eastAsia" w:ascii="仿宋_GB2312" w:eastAsia="仿宋_GB2312"/>
          <w:bCs/>
          <w:color w:val="000000"/>
          <w:sz w:val="32"/>
          <w:szCs w:val="32"/>
        </w:rPr>
        <w:t>项目初步设计审批和概算审批两部分，分别由行业主管部门和发改部门牵头办理，</w:t>
      </w:r>
      <w:r>
        <w:rPr>
          <w:rFonts w:hint="eastAsia" w:ascii="仿宋_GB2312" w:eastAsia="仿宋_GB2312"/>
          <w:color w:val="000000"/>
          <w:sz w:val="32"/>
          <w:szCs w:val="32"/>
        </w:rPr>
        <w:t>审批的内容及流程为：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1.原则上投资额400万元（含）以上的政府性投资项目，项目单位须报发改部门进行初步设计概算审查。</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2.发改部门在受理初步设计概算审查报批文件后，应及时组织专业中介评审机构进行初设概算审查，并在规定时限内对按审查意见修改后的初步设计概算作出批复。</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（三）施工图联合审查。施工图审查由各行业主管部门负责组织，其中市政、房屋建筑工程由住建部门牵头负责。审查的内容及流程为：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1.施工图设计完成后，建设单位通过湖南省施工图管理信息系统申报施工图设计文件审查。</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2.施工图审查委托单位或部门通过湖南省施工图管理信息系统遴选确定审查机构，各行业主管部门负责对施工图审查工作实施监督管理。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（四）施工许可证审批。由住建部门牵头负责，各行业主管部门另有规定的按其规定办理。审批的内容及流程为：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1.对依法需要申请施工许可证的项目，由住建部门或相关行业主管部门在受理申请后，及时对项目是否具备施工条件进行审查，并在规定时限内对符合条件的项目发放施工许可证。</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办理施工许可证需提交的材料包括：初步设计（含一阶段施工图设计）批复、用地批准文件、建设用地规划许可证、建设工程规划许可证、工程中标通知书、施工图审查意见、施工承包合同（由住建部门或相关行业主管部门同时办理合同备案）、施工监理合同（由住建部门或相关行业主管部门同时办理合同备案）、开工安全生产条件审查合格文件、工程质量安全监督手续（与施工许可证合办）、施工场地具备施工条件的证明，以及相关法律法规规定的其他材料。</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实行限额审批管理制度。未纳入年度投资计划但确需实施的政府性投资项目，按以下办法办理：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（一）总投资额度60万元以下的，报区政府分管副区长审批同意后，可不办理立项审批手续，按招标限额标准以下的程序办理（见第十一条相关规定）。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（二）总投资额度60万元（含）以上至400万元以下的，报区政府分管副区长根据区政府工作安排（一事一议意见，下同）签署立项意见。</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（三）总投资400万元（含）以上至2000万元以下的，报区政府分管副区长、常务副区长签署立项意见。</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（四）投资2000万元（含</w:t>
      </w:r>
      <w:r>
        <w:rPr>
          <w:rFonts w:hint="eastAsia" w:ascii="仿宋_GB2312" w:eastAsia="仿宋_GB2312"/>
          <w:color w:val="000000"/>
          <w:spacing w:val="-6"/>
          <w:sz w:val="32"/>
          <w:szCs w:val="32"/>
        </w:rPr>
        <w:t>）以上的重大投资项目或涉及民生公益类重大投资项目，须经区人民政府常务会议或专题会议研究审议通过后，再报区政府分管副区长、</w:t>
      </w:r>
      <w:r>
        <w:rPr>
          <w:rFonts w:hint="eastAsia" w:ascii="仿宋_GB2312" w:eastAsia="仿宋_GB2312"/>
          <w:color w:val="000000"/>
          <w:sz w:val="32"/>
          <w:szCs w:val="32"/>
        </w:rPr>
        <w:t>常务副区长签署立项意见。</w:t>
      </w:r>
    </w:p>
    <w:p>
      <w:pPr>
        <w:spacing w:line="600" w:lineRule="exact"/>
        <w:ind w:firstLine="640" w:firstLineChars="200"/>
        <w:rPr>
          <w:rFonts w:hint="eastAsia" w:ascii="黑体" w:eastAsia="黑体"/>
          <w:color w:val="000000"/>
          <w:sz w:val="32"/>
          <w:szCs w:val="32"/>
        </w:rPr>
      </w:pPr>
      <w:r>
        <w:rPr>
          <w:rFonts w:hint="eastAsia" w:ascii="仿宋_GB2312" w:eastAsia="仿宋_GB2312"/>
          <w:color w:val="000000"/>
          <w:sz w:val="32"/>
          <w:szCs w:val="32"/>
        </w:rPr>
        <w:t>已纳入年度投资计划的政府性投资项目，项目单位可凭相关证明（政府工作报告、</w:t>
      </w:r>
      <w:r>
        <w:rPr>
          <w:rFonts w:hint="eastAsia" w:ascii="仿宋_GB2312" w:eastAsia="仿宋_GB2312"/>
          <w:bCs/>
          <w:color w:val="000000"/>
          <w:sz w:val="32"/>
          <w:szCs w:val="32"/>
        </w:rPr>
        <w:t>会议纪要、投资计划文件</w:t>
      </w:r>
      <w:r>
        <w:rPr>
          <w:rFonts w:hint="eastAsia" w:ascii="仿宋_GB2312" w:eastAsia="仿宋_GB2312"/>
          <w:color w:val="000000"/>
          <w:sz w:val="32"/>
          <w:szCs w:val="32"/>
        </w:rPr>
        <w:t>等）申请立项。</w:t>
      </w:r>
    </w:p>
    <w:p>
      <w:pPr>
        <w:spacing w:before="156" w:beforeLines="50"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第四章</w:t>
      </w:r>
      <w:r>
        <w:rPr>
          <w:rFonts w:hint="eastAsia" w:ascii="黑体" w:eastAsia="黑体"/>
          <w:color w:val="000000"/>
          <w:sz w:val="32"/>
          <w:szCs w:val="32"/>
        </w:rPr>
        <w:t xml:space="preserve">  </w:t>
      </w:r>
      <w:r>
        <w:rPr>
          <w:rFonts w:hint="eastAsia" w:ascii="黑体" w:hAnsi="黑体" w:eastAsia="黑体"/>
          <w:color w:val="000000"/>
          <w:sz w:val="32"/>
          <w:szCs w:val="32"/>
        </w:rPr>
        <w:t>招投标管理</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第十条</w:t>
      </w:r>
      <w:r>
        <w:rPr>
          <w:rFonts w:hint="eastAsia" w:ascii="仿宋_GB2312" w:eastAsia="仿宋_GB2312"/>
          <w:color w:val="000000"/>
          <w:sz w:val="32"/>
          <w:szCs w:val="32"/>
        </w:rPr>
        <w:t xml:space="preserve">  规范项目招标投标行为，根据《中华人民共和国招标投标法》《中华人民共和国招标投标法实施条例》《中华人民共和国政府采购法》《必须招标的工程项目规定》等法规要求，在规定招标范围内的全部或部分使用财政性资金，或国家融资的项目达到以下规模标准之一的，必须进行公开招标，招投标场地设市公共资源交易中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（一）民间投资项目使用财政性资金200万元（含）以上，并且该资金占投资额10%以上的项目。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（二）使用国有企事业单位资金，并且该资金占控股或者主导地位的项目。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（三）使用世界银行、亚洲开发银行等国际组织贷款、援助资金的项目。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（四）使用外国政府及其机构贷款、援助资金的项目。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（五）大型基础设施、公用事业等关系社会公共利益、公众安全的项目。</w:t>
      </w:r>
    </w:p>
    <w:p>
      <w:pPr>
        <w:spacing w:line="600" w:lineRule="exact"/>
        <w:ind w:firstLine="640" w:firstLineChars="200"/>
        <w:rPr>
          <w:rFonts w:hint="eastAsia" w:ascii="仿宋_GB2312" w:eastAsia="仿宋_GB2312"/>
          <w:color w:val="000000"/>
          <w:spacing w:val="-6"/>
          <w:sz w:val="32"/>
          <w:szCs w:val="32"/>
        </w:rPr>
      </w:pPr>
      <w:r>
        <w:rPr>
          <w:rFonts w:hint="eastAsia" w:ascii="仿宋_GB2312" w:eastAsia="仿宋_GB2312"/>
          <w:color w:val="000000"/>
          <w:sz w:val="32"/>
          <w:szCs w:val="32"/>
        </w:rPr>
        <w:t>（六）</w:t>
      </w:r>
      <w:r>
        <w:rPr>
          <w:rFonts w:hint="eastAsia" w:ascii="仿宋_GB2312" w:eastAsia="仿宋_GB2312"/>
          <w:color w:val="000000"/>
          <w:spacing w:val="-6"/>
          <w:sz w:val="32"/>
          <w:szCs w:val="32"/>
        </w:rPr>
        <w:t>上述项目的勘察、设计、施工、监理以及与工程建设有关的重要设备、材料等采购达到下列标准之一的，必须公开招标：</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1.施工单项合同估算价在400万元（含）以上；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2.重要设备、材料等货物的采购，单项合同估算价在200万元（含）以上；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3.勘察、设计、监理等服务的采购，单项合同估算价在100万元（含）以上；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同一项目中可以合并进行的勘察、设计、施工、监理以及与工程建设有关的重要设备、材料等的采购，合同估算价合计达到前款规定标准的，必须公开招标;对重大项目可推行设计、采购、施工总承包招投标，对项目实行总承包模式的，或大型公益性基础设施项目可优先推行具有相关资质的政府性全资平台公司为业主单位的代建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5.大宗采购200万元（含）以上的货物需由区重点项目服务中心牵头，组织财政、发改等单位进行询价，并报分管副区长签署意见后报常务副区长确定采购控制价，方可实施采购。[见《询价工作初审表》（附件1）及《询价结果审批表》（附件2）]</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招标限额标准以下的项目，按以下程序办理（以下所称工程类项目预算金额指经财政评审的招标控制价，服务类项目预算金额指按照岳云政办发〔2020〕10号文件计算的价格。如文件调整，则按最新文件规定执行，下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（一）政府采购管理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纳入政府采购管理的项目为：预算金额40万元（含）以上200万元以下的货物项目；预算金额50万元（含）以上</w:t>
      </w:r>
      <w:r>
        <w:rPr>
          <w:rFonts w:hint="eastAsia" w:ascii="仿宋_GB2312" w:eastAsia="仿宋_GB2312"/>
          <w:bCs/>
          <w:color w:val="000000"/>
          <w:sz w:val="32"/>
          <w:szCs w:val="32"/>
        </w:rPr>
        <w:t>200万元</w:t>
      </w:r>
      <w:r>
        <w:rPr>
          <w:rFonts w:hint="eastAsia" w:ascii="仿宋_GB2312" w:eastAsia="仿宋_GB2312"/>
          <w:color w:val="000000"/>
          <w:sz w:val="32"/>
          <w:szCs w:val="32"/>
        </w:rPr>
        <w:t>以下的服务项目，</w:t>
      </w:r>
      <w:r>
        <w:rPr>
          <w:rFonts w:hint="eastAsia" w:ascii="仿宋_GB2312" w:eastAsia="仿宋_GB2312"/>
          <w:bCs/>
          <w:color w:val="000000"/>
          <w:sz w:val="32"/>
          <w:szCs w:val="32"/>
        </w:rPr>
        <w:t>但《必须招投标的工程项目规定》（国家发改令第16号）第五条第三款规定的服务项目除外；</w:t>
      </w:r>
      <w:r>
        <w:rPr>
          <w:rFonts w:hint="eastAsia" w:ascii="仿宋_GB2312" w:eastAsia="仿宋_GB2312"/>
          <w:color w:val="000000"/>
          <w:sz w:val="32"/>
          <w:szCs w:val="32"/>
        </w:rPr>
        <w:t>预算金额60万元（含）以上400万元以下的工程项目。采购人应在政府采购管理部门的监督管理下，根据项目性质选择公开招标、邀请招标、询价、竞争性谈判、竞争性磋商、单一来源采购等方式进行政府采购。</w:t>
      </w:r>
      <w:r>
        <w:rPr>
          <w:rFonts w:hint="eastAsia" w:ascii="仿宋_GB2312" w:eastAsia="仿宋_GB2312"/>
          <w:bCs/>
          <w:color w:val="000000"/>
          <w:sz w:val="32"/>
          <w:szCs w:val="32"/>
        </w:rPr>
        <w:t>[见《云溪区政府采购非公开招标采购方式审批备案表》（附件3）]</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（二）电子卖场交易管理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预算金额40万元以下的货物项目，50万元以下的服务项目（行政审批中介服务事项清单以外），60万元以下工程项目，由项目单位按照《关于推进云溪区政府采购电子卖场工作的通知》要求执行。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（三）工程相关服务费50万以下采购上限值管理</w:t>
      </w:r>
    </w:p>
    <w:p>
      <w:pPr>
        <w:spacing w:line="600" w:lineRule="exact"/>
        <w:ind w:firstLine="642"/>
        <w:rPr>
          <w:rFonts w:hint="eastAsia" w:ascii="仿宋_GB2312" w:eastAsia="仿宋_GB2312"/>
          <w:bCs/>
          <w:color w:val="000000"/>
          <w:sz w:val="32"/>
          <w:szCs w:val="32"/>
        </w:rPr>
      </w:pPr>
      <w:r>
        <w:rPr>
          <w:rFonts w:hint="eastAsia" w:ascii="仿宋_GB2312" w:eastAsia="仿宋_GB2312"/>
          <w:bCs/>
          <w:color w:val="000000"/>
          <w:sz w:val="32"/>
          <w:szCs w:val="32"/>
        </w:rPr>
        <w:t>1.工程相关服务费5万元（含）以上10万元以下由区重点项目服务中心初审后报区财政局采购部门审核备案；</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2.工程相关服务费10万元（含）以上50万元以下，由区重点项目服务中心初审后报财政局采购部门审核备案并报区政府分管副区长审批。[见《云溪区政府采购限额以下项目电子卖场采购方式备案表》（附件4）]</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（四）网上中介服务超市管理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50万元以下的服务类项目，按照《湖南省网上中介服务超市管理运行办法的通知》（湘政办发〔2023〕38号）及《关于规范财政性资金采购行政审批中介服务有关工作的通知》（岳行审发〔2024〕9号）文件要求执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（五）村级小额项目管理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村民能够自建、工程投资在100万元以下的项目，设备、材料采购等在50万元以下的项目，可根据《关于推广小型农村公共基础设施“四自两会三公开”建管模式的指导意见》（湘政办发〔2014〕33号）文件精神，由行业主管部门进行业务技术指导和安全质量监管，采取“四自”模式实施。</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第十二条</w:t>
      </w:r>
      <w:r>
        <w:rPr>
          <w:rFonts w:hint="eastAsia" w:ascii="仿宋_GB2312" w:eastAsia="仿宋_GB2312"/>
          <w:color w:val="000000"/>
          <w:sz w:val="32"/>
          <w:szCs w:val="32"/>
        </w:rPr>
        <w:t xml:space="preserve">  招投标管理部门应严格审查招标文件，对招标文件中的评标办法、材料供应方式、计价规则、工程款支付等可能造成投资失控的条款认真进行审查。及时查处规避招标、围标串标、弄虚作假骗取中标、将中标项目非法转包或违法分包等突出问题，确保政府性投资建设项目投资效益。</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第十三条</w:t>
      </w:r>
      <w:r>
        <w:rPr>
          <w:rFonts w:hint="eastAsia" w:ascii="仿宋_GB2312" w:eastAsia="仿宋_GB2312"/>
          <w:color w:val="000000"/>
          <w:sz w:val="32"/>
          <w:szCs w:val="32"/>
        </w:rPr>
        <w:t xml:space="preserve">  加强标后合同监管，加强合同履约情况监管，各责任单位要督促招标人和中标人按照合同范本签订合同。合同的签订不得改变招标文件的核心条款，不得另行订立背离招投标文件实质性内容的其他协议或合同，避免因合同签订中的不当行为造成投资增加。正式合同签订前须经司法部门进行合法性审查，具体参照《岳阳市云溪区政府合同管理实施细则》（岳云政办发〔2020〕6号）执行。</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第十四条</w:t>
      </w:r>
      <w:r>
        <w:rPr>
          <w:rFonts w:hint="eastAsia" w:ascii="仿宋_GB2312" w:eastAsia="仿宋_GB2312"/>
          <w:color w:val="000000"/>
          <w:sz w:val="32"/>
          <w:szCs w:val="32"/>
        </w:rPr>
        <w:t xml:space="preserve">  工程建设合同签订前，建设单位应要求中标单位（施工方）必须按标准向银行专账缴纳农民工工资保证金并报劳动监察部门备案、向财政专户缴纳履约保证金（原则上为中标合同金额的5%至10%以内）或提供保函，并将两项保证金的到位情况作为施工合同签订的前置条件。</w:t>
      </w:r>
    </w:p>
    <w:p>
      <w:pPr>
        <w:spacing w:line="600" w:lineRule="exact"/>
        <w:ind w:firstLine="643" w:firstLineChars="200"/>
        <w:rPr>
          <w:rFonts w:hint="eastAsia" w:ascii="仿宋_GB2312" w:eastAsia="仿宋_GB2312"/>
          <w:color w:val="000000"/>
          <w:spacing w:val="-6"/>
          <w:sz w:val="32"/>
          <w:szCs w:val="32"/>
        </w:rPr>
      </w:pPr>
      <w:r>
        <w:rPr>
          <w:rFonts w:hint="eastAsia" w:ascii="仿宋_GB2312" w:eastAsia="仿宋_GB2312"/>
          <w:b/>
          <w:color w:val="000000"/>
          <w:sz w:val="32"/>
          <w:szCs w:val="32"/>
        </w:rPr>
        <w:t xml:space="preserve">第十五条 </w:t>
      </w:r>
      <w:r>
        <w:rPr>
          <w:rFonts w:hint="eastAsia" w:ascii="仿宋_GB2312" w:eastAsia="仿宋_GB2312"/>
          <w:color w:val="000000"/>
          <w:sz w:val="32"/>
          <w:szCs w:val="32"/>
        </w:rPr>
        <w:t xml:space="preserve"> 严格合同</w:t>
      </w:r>
      <w:r>
        <w:rPr>
          <w:rFonts w:hint="eastAsia" w:ascii="仿宋_GB2312" w:eastAsia="仿宋_GB2312"/>
          <w:color w:val="000000"/>
          <w:spacing w:val="-6"/>
          <w:sz w:val="32"/>
          <w:szCs w:val="32"/>
        </w:rPr>
        <w:t>备案管理，中标通知书和正式合同由项目建设单位报行业主管部门和发改、财政、重点项目服务部门备案。</w:t>
      </w:r>
    </w:p>
    <w:p>
      <w:pPr>
        <w:spacing w:before="156" w:beforeLines="50" w:after="156"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第五章  财政投资评审</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bCs/>
          <w:color w:val="000000"/>
          <w:sz w:val="32"/>
          <w:szCs w:val="32"/>
        </w:rPr>
        <w:t xml:space="preserve">第十六条  </w:t>
      </w:r>
      <w:r>
        <w:rPr>
          <w:rFonts w:hint="eastAsia" w:ascii="仿宋_GB2312" w:eastAsia="仿宋_GB2312"/>
          <w:bCs/>
          <w:color w:val="000000"/>
          <w:sz w:val="32"/>
          <w:szCs w:val="32"/>
        </w:rPr>
        <w:t>财政投资评审的范围和规模标准：凡云溪区所属行政、事业单位及社会团体（指行政编制或事业编制的团体）、国有和国有控股企业使用财政性资金的，符合以下条件，须按规定进行评审（国家、省、市评审机构已评审的除外）。</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（一）工程建设项目在20万元（含）以上的；</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（二）与工程建设相关的货物（含纯苗木类）、服务单项合同金额100万元（含）以上的（政府集中采购目录中的货物、办公家具不纳入评审范围）。</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其他单位使用财政性资金的建设项目及与工程建设相关的货物、服务项目，原则上不进行评审，上级部门或区人民政府有特别规定的除外。</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bCs/>
          <w:color w:val="000000"/>
          <w:sz w:val="32"/>
          <w:szCs w:val="32"/>
        </w:rPr>
        <w:t xml:space="preserve">第十七条  </w:t>
      </w:r>
      <w:r>
        <w:rPr>
          <w:rFonts w:hint="eastAsia" w:ascii="仿宋_GB2312" w:eastAsia="仿宋_GB2312"/>
          <w:bCs/>
          <w:color w:val="000000"/>
          <w:sz w:val="32"/>
          <w:szCs w:val="32"/>
        </w:rPr>
        <w:t>评审流程和操作流程。预算和结算项目均由建设单位送审。项目建设单位应该在政府性投资项目竣工验收合格后2个月内向财政部门报送项目竣工结算资料，并对所提供资料的真实性、合法性负责（含预算评审）。财政部门对经过法定程序验收合格的政府性投资项目进行竣工结算评审。竣工结算项目现场无法进行工程量实地踏勘的原则上不予受理，评审流程和操作规程按《岳阳市云溪区财政投资项目评审操作规程》（岳云财发〔2023〕16号）执行。（执行该操作规程内容如有与本管理办法不一致的，以本办法为准。）</w:t>
      </w:r>
    </w:p>
    <w:p>
      <w:pPr>
        <w:spacing w:before="156" w:beforeLines="50"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第六章</w:t>
      </w:r>
      <w:r>
        <w:rPr>
          <w:rFonts w:hint="eastAsia" w:ascii="黑体" w:eastAsia="黑体"/>
          <w:color w:val="000000"/>
          <w:sz w:val="32"/>
          <w:szCs w:val="32"/>
        </w:rPr>
        <w:t xml:space="preserve">  </w:t>
      </w:r>
      <w:r>
        <w:rPr>
          <w:rFonts w:hint="eastAsia" w:ascii="黑体" w:hAnsi="黑体" w:eastAsia="黑体"/>
          <w:color w:val="000000"/>
          <w:sz w:val="32"/>
          <w:szCs w:val="32"/>
        </w:rPr>
        <w:t>项目工程变更管理</w:t>
      </w:r>
    </w:p>
    <w:p>
      <w:pPr>
        <w:spacing w:line="600" w:lineRule="exact"/>
        <w:ind w:firstLine="643" w:firstLineChars="200"/>
        <w:rPr>
          <w:rFonts w:hint="eastAsia" w:ascii="黑体" w:eastAsia="黑体"/>
          <w:color w:val="000000"/>
          <w:sz w:val="32"/>
          <w:szCs w:val="32"/>
        </w:rPr>
      </w:pPr>
      <w:r>
        <w:rPr>
          <w:rFonts w:hint="eastAsia" w:ascii="仿宋_GB2312" w:eastAsia="仿宋_GB2312"/>
          <w:b/>
          <w:color w:val="000000"/>
          <w:sz w:val="32"/>
          <w:szCs w:val="32"/>
        </w:rPr>
        <w:t>第十八条</w:t>
      </w:r>
      <w:r>
        <w:rPr>
          <w:rFonts w:hint="eastAsia" w:ascii="仿宋_GB2312" w:eastAsia="仿宋_GB2312"/>
          <w:color w:val="000000"/>
          <w:sz w:val="32"/>
          <w:szCs w:val="32"/>
        </w:rPr>
        <w:t xml:space="preserve">  本办法所称的工程变更，是指政府性投资建设项目在实施过程中，由于实际需要改变原使用功能或投资规模、改变原设计或施工方案、增减工程量、更换设备或材料、提高或降低建设标准、增减建设附属工程等内容，引起合同价款发生变化的工程变更。</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color w:val="000000"/>
          <w:sz w:val="32"/>
          <w:szCs w:val="32"/>
        </w:rPr>
        <w:t xml:space="preserve">第十九条  </w:t>
      </w:r>
      <w:r>
        <w:rPr>
          <w:rFonts w:hint="eastAsia" w:ascii="仿宋_GB2312" w:eastAsia="仿宋_GB2312"/>
          <w:bCs/>
          <w:color w:val="000000"/>
          <w:sz w:val="32"/>
          <w:szCs w:val="32"/>
        </w:rPr>
        <w:t>项目建设单位在项目开工前应组织勘察、设计、施工、监理单位对招投标文件、施工合同、施工图纸、工程量清单进行现场审签，发现施工图设计及预算中的错漏碰缺等问题应当及时提出意见和建议，对施工合同造价和投资管控目标进行现场确认，确保经济技术统一。确因初设、概算有变化的，项目建设单位可申请一次概算调整，并严格执行概算批复，按照工程设计图纸和施工技术标准施工，不得擅自增加建设内容、扩大建设规模、提高建设标准或改变设计方案。</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color w:val="000000"/>
          <w:sz w:val="32"/>
          <w:szCs w:val="32"/>
        </w:rPr>
        <w:t xml:space="preserve">第二十条  </w:t>
      </w:r>
      <w:r>
        <w:rPr>
          <w:rFonts w:hint="eastAsia" w:ascii="仿宋_GB2312" w:eastAsia="仿宋_GB2312"/>
          <w:bCs/>
          <w:color w:val="000000"/>
          <w:sz w:val="32"/>
          <w:szCs w:val="32"/>
        </w:rPr>
        <w:t>使用中央、省预算内投资补助和贴息资金的项目，应当严格执行国家和省、市有关政策要求，不得擅自改变申报建设内容和建设标准，严禁转移、侵占或者挪用投资补助和贴息资金。</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第二十一条</w:t>
      </w:r>
      <w:r>
        <w:rPr>
          <w:rFonts w:hint="eastAsia" w:ascii="仿宋_GB2312" w:eastAsia="仿宋_GB2312"/>
          <w:color w:val="000000"/>
          <w:sz w:val="32"/>
          <w:szCs w:val="32"/>
        </w:rPr>
        <w:t xml:space="preserve">  鼓励节省投资的优化设计变更，严控增加投资的工程变更，不得以任何方式将政府性投资建设项目工程变更化整为零、规避监管。</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第二十二条</w:t>
      </w:r>
      <w:r>
        <w:rPr>
          <w:rFonts w:hint="eastAsia" w:ascii="仿宋_GB2312" w:eastAsia="仿宋_GB2312"/>
          <w:color w:val="000000"/>
          <w:sz w:val="32"/>
          <w:szCs w:val="32"/>
        </w:rPr>
        <w:t xml:space="preserve">  项目变更应遵循“先审批、后变更；先设计、后施工”的原则，政府性投资建设项目有下列原因之一的，经区人民政府批准后方可进行变更：</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（一）政策发生变化的；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（二）项目实施过程中，因突发紧急情况、地质条件发生重大变化和发生自然灾害等不可抗力因素的；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（三）为完善项目配套、充分发挥项目效益，需增加附属工程或附属设备的；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（四）节约工程造价优化设计的。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特别说明：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1.因勘察资料不全、设计深度不够、预算编制漏项错项及其他原因造成的，先查清原因分清责任后再办理变更或视项目轻重缓急情况同步进行；</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2.因工程变更导致项目合同价款增减的，发包方与承包方应当签订补充协议，明确双方权利义务和责任分担。</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第二十三条</w:t>
      </w:r>
      <w:r>
        <w:rPr>
          <w:rFonts w:hint="eastAsia" w:ascii="仿宋_GB2312" w:eastAsia="仿宋_GB2312"/>
          <w:color w:val="000000"/>
          <w:sz w:val="32"/>
          <w:szCs w:val="32"/>
        </w:rPr>
        <w:t xml:space="preserve">  有下列情形之一的，项目建设单位不得办理工程变更：</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（一）未办理项目立项审批的；</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（二）人工、材</w:t>
      </w:r>
      <w:r>
        <w:rPr>
          <w:rFonts w:hint="eastAsia" w:ascii="仿宋_GB2312" w:eastAsia="仿宋_GB2312"/>
          <w:bCs/>
          <w:color w:val="000000"/>
          <w:spacing w:val="-6"/>
          <w:sz w:val="32"/>
          <w:szCs w:val="32"/>
        </w:rPr>
        <w:t>料上涨等因素涨幅在5%以内</w:t>
      </w:r>
      <w:r>
        <w:rPr>
          <w:rFonts w:hint="eastAsia" w:ascii="仿宋_GB2312" w:eastAsia="仿宋_GB2312"/>
          <w:bCs/>
          <w:color w:val="000000"/>
          <w:sz w:val="32"/>
          <w:szCs w:val="32"/>
        </w:rPr>
        <w:t>的，由施工单位自行承担；</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（三）因施工单位原因导致工程造价增加的；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（四）项目实施单位未按工程变更程序报批，擅自实施的；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（五）施工单位不平衡报价、恶意低价、恶意漏项导致实施过程中发生变更或单纯追求经济效益而要求变更的；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（六）变更总额增加超过概算10%（含）以上或超概金额400万元（含）以上，没有查明原因，对相关责任人进行处理的。</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第二十四条</w:t>
      </w:r>
      <w:r>
        <w:rPr>
          <w:rFonts w:hint="eastAsia" w:ascii="仿宋_GB2312" w:eastAsia="仿宋_GB2312"/>
          <w:color w:val="000000"/>
          <w:sz w:val="32"/>
          <w:szCs w:val="32"/>
        </w:rPr>
        <w:t xml:space="preserve">  </w:t>
      </w:r>
      <w:r>
        <w:rPr>
          <w:rFonts w:hint="eastAsia" w:ascii="仿宋_GB2312" w:eastAsia="仿宋_GB2312"/>
          <w:bCs/>
          <w:color w:val="000000"/>
          <w:sz w:val="32"/>
          <w:szCs w:val="32"/>
        </w:rPr>
        <w:t>工程变更由区重点项目服务中心牵头，</w:t>
      </w:r>
      <w:r>
        <w:rPr>
          <w:rFonts w:hint="eastAsia" w:ascii="仿宋_GB2312" w:eastAsia="仿宋_GB2312"/>
          <w:color w:val="000000"/>
          <w:sz w:val="32"/>
          <w:szCs w:val="32"/>
        </w:rPr>
        <w:t>发改、财政、审计等部门共同参与，按以下流程办理变更手续：</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（一）项目建设单位根据施工方提供的变更资料，进行审核后，以正式书面申请报区政府领导批准后启动变更程序。</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1.工程总变更金额在</w:t>
      </w:r>
      <w:r>
        <w:rPr>
          <w:rFonts w:hint="eastAsia" w:ascii="仿宋_GB2312" w:eastAsia="仿宋_GB2312"/>
          <w:bCs/>
          <w:color w:val="000000"/>
          <w:sz w:val="32"/>
          <w:szCs w:val="32"/>
        </w:rPr>
        <w:t>20万元</w:t>
      </w:r>
      <w:r>
        <w:rPr>
          <w:rFonts w:hint="eastAsia" w:ascii="仿宋_GB2312" w:eastAsia="仿宋_GB2312"/>
          <w:color w:val="000000"/>
          <w:sz w:val="32"/>
          <w:szCs w:val="32"/>
        </w:rPr>
        <w:t>以下的，经</w:t>
      </w:r>
      <w:r>
        <w:rPr>
          <w:rFonts w:hint="eastAsia" w:ascii="仿宋_GB2312" w:eastAsia="仿宋_GB2312"/>
          <w:bCs/>
          <w:color w:val="000000"/>
          <w:sz w:val="32"/>
          <w:szCs w:val="32"/>
        </w:rPr>
        <w:t>重点项目服务、</w:t>
      </w:r>
      <w:r>
        <w:rPr>
          <w:rFonts w:hint="eastAsia" w:ascii="仿宋_GB2312" w:eastAsia="仿宋_GB2312"/>
          <w:color w:val="000000"/>
          <w:sz w:val="32"/>
          <w:szCs w:val="32"/>
        </w:rPr>
        <w:t>发改、财政、审计部门联合审查后，报区政府分管副区长批准；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2.工程总变更金额在</w:t>
      </w:r>
      <w:r>
        <w:rPr>
          <w:rFonts w:hint="eastAsia" w:ascii="仿宋_GB2312" w:eastAsia="仿宋_GB2312"/>
          <w:bCs/>
          <w:color w:val="000000"/>
          <w:sz w:val="32"/>
          <w:szCs w:val="32"/>
        </w:rPr>
        <w:t>20万元</w:t>
      </w:r>
      <w:r>
        <w:rPr>
          <w:rFonts w:hint="eastAsia" w:ascii="仿宋_GB2312" w:eastAsia="仿宋_GB2312"/>
          <w:color w:val="000000"/>
          <w:sz w:val="32"/>
          <w:szCs w:val="32"/>
        </w:rPr>
        <w:t>（含）以上50万元以下的，经</w:t>
      </w:r>
      <w:r>
        <w:rPr>
          <w:rFonts w:hint="eastAsia" w:ascii="仿宋_GB2312" w:eastAsia="仿宋_GB2312"/>
          <w:bCs/>
          <w:color w:val="000000"/>
          <w:sz w:val="32"/>
          <w:szCs w:val="32"/>
        </w:rPr>
        <w:t>重点项目服务、</w:t>
      </w:r>
      <w:r>
        <w:rPr>
          <w:rFonts w:hint="eastAsia" w:ascii="仿宋_GB2312" w:eastAsia="仿宋_GB2312"/>
          <w:color w:val="000000"/>
          <w:sz w:val="32"/>
          <w:szCs w:val="32"/>
        </w:rPr>
        <w:t>发改、财政、审计部门联合审查后，报区政府分管副区长、常务副区长批准；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3.工程总变更金额在50万元（含）以上200万元以下的，经</w:t>
      </w:r>
      <w:r>
        <w:rPr>
          <w:rFonts w:hint="eastAsia" w:ascii="仿宋_GB2312" w:eastAsia="仿宋_GB2312"/>
          <w:bCs/>
          <w:color w:val="000000"/>
          <w:sz w:val="32"/>
          <w:szCs w:val="32"/>
        </w:rPr>
        <w:t>重点项目服务、</w:t>
      </w:r>
      <w:r>
        <w:rPr>
          <w:rFonts w:hint="eastAsia" w:ascii="仿宋_GB2312" w:eastAsia="仿宋_GB2312"/>
          <w:color w:val="000000"/>
          <w:sz w:val="32"/>
          <w:szCs w:val="32"/>
        </w:rPr>
        <w:t>发改、财政、审计部门联合审查后，报区政府分管副区长、常务副区长、区长批准；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4.工程总变更金额在200万元（含）以上的，经</w:t>
      </w:r>
      <w:r>
        <w:rPr>
          <w:rFonts w:hint="eastAsia" w:ascii="仿宋_GB2312" w:eastAsia="仿宋_GB2312"/>
          <w:bCs/>
          <w:color w:val="000000"/>
          <w:sz w:val="32"/>
          <w:szCs w:val="32"/>
        </w:rPr>
        <w:t>重点项目服务、</w:t>
      </w:r>
      <w:r>
        <w:rPr>
          <w:rFonts w:hint="eastAsia" w:ascii="仿宋_GB2312" w:eastAsia="仿宋_GB2312"/>
          <w:color w:val="000000"/>
          <w:sz w:val="32"/>
          <w:szCs w:val="32"/>
        </w:rPr>
        <w:t>发改、财政、审计部门联合审查后，提交区政府召开常务会议或专题会议研究决定，报区政府分管副区长、常务副区长、区长批准。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bCs/>
          <w:color w:val="000000"/>
          <w:sz w:val="32"/>
          <w:szCs w:val="32"/>
        </w:rPr>
        <w:t>区重点项目服务中心</w:t>
      </w:r>
      <w:r>
        <w:rPr>
          <w:rFonts w:hint="eastAsia" w:ascii="仿宋_GB2312" w:eastAsia="仿宋_GB2312"/>
          <w:color w:val="000000"/>
          <w:sz w:val="32"/>
          <w:szCs w:val="32"/>
        </w:rPr>
        <w:t>收到区政府领导批示件后，组织项目建设单位和发改、财政、审计等部门对变更事项进行现场查勘并确认。</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（三）项目建设单位办理工程项目变更手续，需提供相关变更设计图纸、变更预算书、中标通知书、施工合同。变更金额</w:t>
      </w:r>
      <w:r>
        <w:rPr>
          <w:rFonts w:hint="eastAsia" w:ascii="仿宋_GB2312" w:eastAsia="仿宋_GB2312"/>
          <w:bCs/>
          <w:color w:val="000000"/>
          <w:sz w:val="32"/>
          <w:szCs w:val="32"/>
        </w:rPr>
        <w:t>20</w:t>
      </w:r>
      <w:r>
        <w:rPr>
          <w:rFonts w:hint="eastAsia" w:ascii="仿宋_GB2312" w:eastAsia="仿宋_GB2312"/>
          <w:bCs/>
          <w:color w:val="000000"/>
          <w:spacing w:val="-4"/>
          <w:sz w:val="32"/>
          <w:szCs w:val="32"/>
        </w:rPr>
        <w:t>万元</w:t>
      </w:r>
      <w:r>
        <w:rPr>
          <w:rFonts w:hint="eastAsia" w:ascii="仿宋_GB2312" w:eastAsia="仿宋_GB2312"/>
          <w:color w:val="000000"/>
          <w:spacing w:val="-4"/>
          <w:sz w:val="32"/>
          <w:szCs w:val="32"/>
        </w:rPr>
        <w:t>（含）以上的需先进行财政投资评审，再填写《云溪区政府性投资项目工程变更签证审批表》（附件5）；变更金额</w:t>
      </w:r>
      <w:r>
        <w:rPr>
          <w:rFonts w:hint="eastAsia" w:ascii="仿宋_GB2312" w:eastAsia="仿宋_GB2312"/>
          <w:bCs/>
          <w:color w:val="000000"/>
          <w:spacing w:val="-4"/>
          <w:sz w:val="32"/>
          <w:szCs w:val="32"/>
        </w:rPr>
        <w:t>20万元</w:t>
      </w:r>
      <w:r>
        <w:rPr>
          <w:rFonts w:hint="eastAsia" w:ascii="仿宋_GB2312" w:eastAsia="仿宋_GB2312"/>
          <w:color w:val="000000"/>
          <w:sz w:val="32"/>
          <w:szCs w:val="32"/>
        </w:rPr>
        <w:t>以下的先填写《云溪区政府性投资项目工程变更签证审批表》（附件5），在工程项目结算时统一进行财政评审。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（四）项目建设单位按程序申报办理工程变更签证审批单，与施工单位签订变更补充合</w:t>
      </w:r>
      <w:r>
        <w:rPr>
          <w:rFonts w:hint="eastAsia" w:ascii="仿宋_GB2312" w:eastAsia="仿宋_GB2312"/>
          <w:bCs/>
          <w:color w:val="000000"/>
          <w:spacing w:val="-4"/>
          <w:sz w:val="32"/>
          <w:szCs w:val="32"/>
        </w:rPr>
        <w:t>同，总变更金额增加400万元以下的，由原施工单位组织实施。总变更金额增加</w:t>
      </w:r>
      <w:r>
        <w:rPr>
          <w:rFonts w:hint="eastAsia" w:ascii="仿宋_GB2312" w:eastAsia="仿宋_GB2312"/>
          <w:color w:val="000000"/>
          <w:spacing w:val="-4"/>
          <w:sz w:val="32"/>
          <w:szCs w:val="32"/>
        </w:rPr>
        <w:t>400万元（含）以上</w:t>
      </w:r>
      <w:r>
        <w:rPr>
          <w:rFonts w:hint="eastAsia" w:ascii="仿宋_GB2312" w:eastAsia="仿宋_GB2312"/>
          <w:color w:val="000000"/>
          <w:sz w:val="32"/>
          <w:szCs w:val="32"/>
        </w:rPr>
        <w:t>的，原则上重新履行招投标程序或政府采购程序。项目建设单位要严格按批准的变更内容和金额组织施工，不得突破。</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以上所列总变更金额均指在概算批复10%以内的或400万元以下的金额，超过10%以上或400万元（含）以上的按照第二十八条处理。</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 xml:space="preserve">第二十五条 </w:t>
      </w:r>
      <w:r>
        <w:rPr>
          <w:rFonts w:hint="eastAsia" w:ascii="仿宋_GB2312" w:eastAsia="仿宋_GB2312"/>
          <w:color w:val="000000"/>
          <w:sz w:val="32"/>
          <w:szCs w:val="32"/>
        </w:rPr>
        <w:t xml:space="preserve"> 单个隐蔽工程项目变更造价增加10万元（含）以上的，项目建设单位需在工程封闭前通知</w:t>
      </w:r>
      <w:r>
        <w:rPr>
          <w:rFonts w:hint="eastAsia" w:ascii="仿宋_GB2312" w:eastAsia="仿宋_GB2312"/>
          <w:bCs/>
          <w:color w:val="000000"/>
          <w:sz w:val="32"/>
          <w:szCs w:val="32"/>
        </w:rPr>
        <w:t>区重点项目服务中心，由区重点项目服务中心组织</w:t>
      </w:r>
      <w:r>
        <w:rPr>
          <w:rFonts w:hint="eastAsia" w:ascii="仿宋_GB2312" w:eastAsia="仿宋_GB2312"/>
          <w:color w:val="000000"/>
          <w:sz w:val="32"/>
          <w:szCs w:val="32"/>
        </w:rPr>
        <w:t>发改、财政、审计及行业主管部门现场核验，经核验同意后才能封闭。对自行封闭的工程，增加的资金由施工方负责，结算时不得追加。所有隐蔽工程项目变更，施工单位、建设单位（或监理单位）必须在同一地点留存施工前、施工中、施工后的影像资料，全面客观反映现场实际情况并做好施工记录、现场测量记录。</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隐蔽工程变更金</w:t>
      </w:r>
      <w:r>
        <w:rPr>
          <w:rFonts w:hint="eastAsia" w:ascii="仿宋_GB2312" w:eastAsia="仿宋_GB2312"/>
          <w:color w:val="000000"/>
          <w:spacing w:val="-4"/>
          <w:sz w:val="32"/>
          <w:szCs w:val="32"/>
        </w:rPr>
        <w:t>额10万元（含）以上，隐蔽前没有通知相关</w:t>
      </w:r>
      <w:r>
        <w:rPr>
          <w:rFonts w:hint="eastAsia" w:ascii="仿宋_GB2312" w:eastAsia="仿宋_GB2312"/>
          <w:color w:val="000000"/>
          <w:sz w:val="32"/>
          <w:szCs w:val="32"/>
        </w:rPr>
        <w:t>部门现场核验</w:t>
      </w:r>
      <w:r>
        <w:rPr>
          <w:rFonts w:hint="eastAsia" w:ascii="仿宋_GB2312" w:eastAsia="仿宋_GB2312"/>
          <w:bCs/>
          <w:color w:val="000000"/>
          <w:sz w:val="32"/>
          <w:szCs w:val="32"/>
        </w:rPr>
        <w:t>或</w:t>
      </w:r>
      <w:r>
        <w:rPr>
          <w:rFonts w:hint="eastAsia" w:ascii="仿宋_GB2312" w:eastAsia="仿宋_GB2312"/>
          <w:color w:val="000000"/>
          <w:sz w:val="32"/>
          <w:szCs w:val="32"/>
        </w:rPr>
        <w:t>变更金</w:t>
      </w:r>
      <w:r>
        <w:rPr>
          <w:rFonts w:hint="eastAsia" w:ascii="仿宋_GB2312" w:eastAsia="仿宋_GB2312"/>
          <w:color w:val="000000"/>
          <w:spacing w:val="-4"/>
          <w:sz w:val="32"/>
          <w:szCs w:val="32"/>
        </w:rPr>
        <w:t>额10万元以下，</w:t>
      </w:r>
      <w:r>
        <w:rPr>
          <w:rFonts w:hint="eastAsia" w:ascii="仿宋_GB2312" w:eastAsia="仿宋_GB2312"/>
          <w:color w:val="000000"/>
          <w:sz w:val="32"/>
          <w:szCs w:val="32"/>
        </w:rPr>
        <w:t>资料不齐全、无据可依的工程量，财政、审计部门在工程结算时不得认可。</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第二十六条</w:t>
      </w:r>
      <w:r>
        <w:rPr>
          <w:rFonts w:hint="eastAsia" w:ascii="仿宋_GB2312" w:eastAsia="仿宋_GB2312"/>
          <w:color w:val="000000"/>
          <w:sz w:val="32"/>
          <w:szCs w:val="32"/>
        </w:rPr>
        <w:t xml:space="preserve">  项目建设单位应按照相关要求建立变更管理制度和预警机制，建立工程变更和造价管理台账，并安排专人管理，变更资料必须进入工程竣工资料。</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第二十七条</w:t>
      </w:r>
      <w:r>
        <w:rPr>
          <w:rFonts w:hint="eastAsia" w:ascii="仿宋_GB2312" w:eastAsia="仿宋_GB2312"/>
          <w:color w:val="000000"/>
          <w:sz w:val="32"/>
          <w:szCs w:val="32"/>
        </w:rPr>
        <w:t xml:space="preserve">  工程建设项目在没有办理工程变更手续的情况下，其结算金额不得高于合同金额，如高于合同金额，区财政评审中心将不受理该项目竣工结算评审（与国家法律法规相冲突的情况除外）。</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第二十八条</w:t>
      </w:r>
      <w:r>
        <w:rPr>
          <w:rFonts w:hint="eastAsia" w:ascii="仿宋_GB2312" w:eastAsia="仿宋_GB2312"/>
          <w:color w:val="000000"/>
          <w:sz w:val="32"/>
          <w:szCs w:val="32"/>
        </w:rPr>
        <w:t xml:space="preserve">  政府性投资</w:t>
      </w:r>
      <w:r>
        <w:rPr>
          <w:rFonts w:hint="eastAsia" w:ascii="仿宋_GB2312" w:eastAsia="仿宋_GB2312"/>
          <w:color w:val="000000"/>
          <w:spacing w:val="-6"/>
          <w:sz w:val="32"/>
          <w:szCs w:val="32"/>
        </w:rPr>
        <w:t>项目变更原则上不得超过经批准的初步</w:t>
      </w:r>
      <w:r>
        <w:rPr>
          <w:rFonts w:hint="eastAsia" w:ascii="仿宋_GB2312" w:eastAsia="仿宋_GB2312"/>
          <w:color w:val="000000"/>
          <w:sz w:val="32"/>
          <w:szCs w:val="32"/>
        </w:rPr>
        <w:t>设计概算总投资的10%或超概算400万</w:t>
      </w:r>
      <w:r>
        <w:rPr>
          <w:rFonts w:hint="eastAsia" w:ascii="仿宋_GB2312" w:eastAsia="仿宋_GB2312"/>
          <w:color w:val="000000"/>
          <w:spacing w:val="-6"/>
          <w:sz w:val="32"/>
          <w:szCs w:val="32"/>
        </w:rPr>
        <w:t>元（含）。</w:t>
      </w:r>
      <w:r>
        <w:rPr>
          <w:rFonts w:hint="eastAsia" w:ascii="仿宋_GB2312" w:eastAsia="仿宋_GB2312"/>
          <w:color w:val="000000"/>
          <w:sz w:val="32"/>
          <w:szCs w:val="32"/>
        </w:rPr>
        <w:t>没有进行概算审查的项目，以财评中心的预算控制价作为概算控制依据。</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对超概算金额10%以下或超概算金额400万元以下的项目，由项目单位或项目实施机构和责任部门自行承担资金筹措任务。对未经批准擅自增加建设内容、扩大建设规模、提高建设标准或改变设计方案及管理不善等原因造成超概算的，从项目单位或项目实施机构及其主管部门管理的相应专项资金中解决，不得向区政府申请安排超概算资金。</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对超概算10%以上或超概算金额400万元（含）以上的项目，提请区政府审议决策前，应由发改会同财政、审计、重点项目服务部门进行专项审计，对相关责任人由区纪委监委调查并提出处理意见后，方可启动相关手续办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三）对引起超概算问题的中介机构进行惩戒。对因勘测设计深度不够或设计缺陷造成项目建设发生重大变更，以及工程咨询、造价和评估等中介成果出现错误、漏项、缺项等，导致超概算10%以上或超概算金额400万元（含）以上的，将扣除相关服务费用，并由相关部门将其列入信用信息网“黑名单”，依法限制其承担全区各类政府性投资项目的相关业务，项目实施单位在签订服务合同时应明确相关条款。</w:t>
      </w:r>
    </w:p>
    <w:p>
      <w:pPr>
        <w:spacing w:before="156" w:beforeLines="50" w:after="156" w:afterLines="50" w:line="600" w:lineRule="exact"/>
        <w:ind w:firstLine="640" w:firstLineChars="200"/>
        <w:jc w:val="center"/>
        <w:rPr>
          <w:rFonts w:hint="eastAsia" w:ascii="黑体" w:eastAsia="黑体"/>
          <w:color w:val="000000"/>
          <w:sz w:val="32"/>
          <w:szCs w:val="32"/>
        </w:rPr>
      </w:pPr>
      <w:r>
        <w:rPr>
          <w:rFonts w:hint="eastAsia" w:ascii="黑体" w:hAnsi="黑体" w:eastAsia="黑体"/>
          <w:color w:val="000000"/>
          <w:sz w:val="32"/>
          <w:szCs w:val="32"/>
        </w:rPr>
        <w:t>第七章</w:t>
      </w:r>
      <w:r>
        <w:rPr>
          <w:rFonts w:hint="eastAsia" w:ascii="黑体" w:eastAsia="黑体"/>
          <w:color w:val="000000"/>
          <w:sz w:val="32"/>
          <w:szCs w:val="32"/>
        </w:rPr>
        <w:t xml:space="preserve">  </w:t>
      </w:r>
      <w:r>
        <w:rPr>
          <w:rFonts w:hint="eastAsia" w:ascii="黑体" w:hAnsi="黑体" w:eastAsia="黑体"/>
          <w:color w:val="000000"/>
          <w:sz w:val="32"/>
          <w:szCs w:val="32"/>
        </w:rPr>
        <w:t>项目建设及资金管理</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第二十九条</w:t>
      </w:r>
      <w:r>
        <w:rPr>
          <w:rFonts w:hint="eastAsia" w:ascii="仿宋_GB2312" w:eastAsia="仿宋_GB2312"/>
          <w:color w:val="000000"/>
          <w:sz w:val="32"/>
          <w:szCs w:val="32"/>
        </w:rPr>
        <w:t xml:space="preserve">  严格履行基本建设程序，落实项目法人负责制和项目招投标制，完善项目合同管理制和项目监理制。</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第三十条</w:t>
      </w:r>
      <w:r>
        <w:rPr>
          <w:rFonts w:hint="eastAsia" w:ascii="仿宋_GB2312" w:eastAsia="仿宋_GB2312"/>
          <w:color w:val="000000"/>
          <w:sz w:val="32"/>
          <w:szCs w:val="32"/>
        </w:rPr>
        <w:t xml:space="preserve">  政府性投资项目资金实行集中核算、专账管理，严格控制政府性投资项目管理费用。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服务费用总额控制与支付。项目前期咨询、可研、勘察、设计、监理等第三方服务费用计取按岳云政办发〔2020〕10号文件执行。项目前期咨询、可研费用建设单位在通过成果验收合格后，可按照双方约定进行支付；项目勘察、设计、监理费用建设单位在项目竣工验收合格前，其进度支付比例不得超过总费用的70%。</w:t>
      </w:r>
    </w:p>
    <w:p>
      <w:p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（二）建设</w:t>
      </w:r>
      <w:r>
        <w:rPr>
          <w:rFonts w:hint="eastAsia" w:ascii="仿宋_GB2312" w:eastAsia="仿宋_GB2312"/>
          <w:color w:val="000000"/>
          <w:spacing w:val="6"/>
          <w:sz w:val="32"/>
          <w:szCs w:val="32"/>
        </w:rPr>
        <w:t>管理费用总额控制与支</w:t>
      </w:r>
      <w:r>
        <w:rPr>
          <w:rFonts w:hint="eastAsia" w:ascii="仿宋_GB2312" w:eastAsia="仿宋_GB2312"/>
          <w:color w:val="000000"/>
          <w:sz w:val="32"/>
          <w:szCs w:val="32"/>
        </w:rPr>
        <w:t>付。1000万元以下的政府性投资项目管理费用，以5万元为起点，提取不超过工程投资总额的2%；1000万元（含）以上的政府性投资项目管理费用，以20万元为起点，提取不超过工程投资总额的1.5%。</w:t>
      </w:r>
    </w:p>
    <w:p>
      <w:pPr>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（三）工程建设资金总额控制与支付。政府性投资项目资金的支付由项目建设单位提出，</w:t>
      </w:r>
      <w:r>
        <w:rPr>
          <w:rFonts w:hint="eastAsia" w:ascii="仿宋_GB2312" w:eastAsia="仿宋_GB2312"/>
          <w:bCs/>
          <w:color w:val="000000"/>
          <w:sz w:val="32"/>
          <w:szCs w:val="32"/>
        </w:rPr>
        <w:t>区重点项目服务中心会同区财政局(投资业主)核实后按程序报区政府审定，</w:t>
      </w:r>
      <w:r>
        <w:rPr>
          <w:rFonts w:hint="eastAsia" w:ascii="仿宋_GB2312" w:eastAsia="仿宋_GB2312"/>
          <w:color w:val="000000"/>
          <w:sz w:val="32"/>
          <w:szCs w:val="32"/>
        </w:rPr>
        <w:t>按合同约定由财政部门或项目投资业主拨付到项目建设单位账户。工程建设资金的拨付严格按工程合同和建设进度控制，严禁超进度拨款。在项目建成竣工验收合格前，工程进度款</w:t>
      </w:r>
      <w:r>
        <w:rPr>
          <w:rFonts w:hint="eastAsia" w:ascii="仿宋_GB2312" w:eastAsia="仿宋_GB2312"/>
          <w:bCs/>
          <w:color w:val="000000"/>
          <w:sz w:val="32"/>
          <w:szCs w:val="32"/>
        </w:rPr>
        <w:t>支付由区重点项目服务中心审核后[见《云溪区重</w:t>
      </w:r>
      <w:r>
        <w:rPr>
          <w:rFonts w:hint="eastAsia" w:ascii="仿宋_GB2312" w:eastAsia="仿宋_GB2312"/>
          <w:bCs/>
          <w:color w:val="000000"/>
          <w:spacing w:val="6"/>
          <w:sz w:val="32"/>
          <w:szCs w:val="32"/>
        </w:rPr>
        <w:t>点建设项</w:t>
      </w:r>
      <w:r>
        <w:rPr>
          <w:rFonts w:hint="eastAsia" w:ascii="仿宋_GB2312" w:eastAsia="仿宋_GB2312"/>
          <w:bCs/>
          <w:color w:val="000000"/>
          <w:sz w:val="32"/>
          <w:szCs w:val="32"/>
        </w:rPr>
        <w:t>目付款审批表》（附件6）]，</w:t>
      </w:r>
      <w:r>
        <w:rPr>
          <w:rFonts w:hint="eastAsia" w:ascii="仿宋_GB2312" w:eastAsia="仿宋_GB2312"/>
          <w:color w:val="000000"/>
          <w:sz w:val="32"/>
          <w:szCs w:val="32"/>
        </w:rPr>
        <w:t>最</w:t>
      </w:r>
      <w:r>
        <w:rPr>
          <w:rFonts w:hint="eastAsia" w:ascii="仿宋_GB2312" w:eastAsia="仿宋_GB2312"/>
          <w:bCs/>
          <w:color w:val="000000"/>
          <w:spacing w:val="6"/>
          <w:sz w:val="32"/>
          <w:szCs w:val="32"/>
        </w:rPr>
        <w:t>多支付至</w:t>
      </w:r>
      <w:r>
        <w:rPr>
          <w:rFonts w:hint="eastAsia" w:ascii="仿宋_GB2312" w:eastAsia="仿宋_GB2312"/>
          <w:color w:val="000000"/>
          <w:sz w:val="32"/>
          <w:szCs w:val="32"/>
        </w:rPr>
        <w:t>实际完成工程量（按规定程序批准的变更金额视为合同金额，下同）的65%。项目竣工验收合格后，经财政评审并办理竣工决算后，工程进度款原则上最多支付至实际工程总造价的97%，余下3%作为质量保证金，待缺陷责任期满后返还，相关具体内容应在合同中予以明确。</w:t>
      </w:r>
    </w:p>
    <w:p>
      <w:pPr>
        <w:spacing w:before="156" w:beforeLines="50"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第八章</w:t>
      </w:r>
      <w:r>
        <w:rPr>
          <w:rFonts w:hint="eastAsia" w:ascii="黑体" w:eastAsia="黑体"/>
          <w:color w:val="000000"/>
          <w:sz w:val="32"/>
          <w:szCs w:val="32"/>
        </w:rPr>
        <w:t xml:space="preserve">  </w:t>
      </w:r>
      <w:r>
        <w:rPr>
          <w:rFonts w:hint="eastAsia" w:ascii="黑体" w:hAnsi="黑体" w:eastAsia="黑体"/>
          <w:color w:val="000000"/>
          <w:sz w:val="32"/>
          <w:szCs w:val="32"/>
        </w:rPr>
        <w:t>工程竣工决（结）算</w:t>
      </w: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 xml:space="preserve">第三十一条  </w:t>
      </w:r>
      <w:r>
        <w:rPr>
          <w:rFonts w:hint="eastAsia" w:ascii="仿宋_GB2312" w:eastAsia="仿宋_GB2312"/>
          <w:color w:val="000000"/>
          <w:sz w:val="32"/>
          <w:szCs w:val="32"/>
        </w:rPr>
        <w:t>工程完工后，由建设单位组织区行业主管部门、区重点项目服务中心及项目施工、设计、监理、勘察等单位进行竣工验收。项目建设单位应在政府性投资项目竣工验收合格后2个月期限内，向财政部门报送项目竣工结算资料，并做好结算资料的初审工作，保证送审资料的客观真实、合法合规、完备及时。财政部门对经过法定程序验收合格的政府性投资项目，进行竣工结算评审。</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第三十二条</w:t>
      </w:r>
      <w:r>
        <w:rPr>
          <w:rFonts w:hint="eastAsia" w:ascii="仿宋_GB2312" w:eastAsia="仿宋_GB2312"/>
          <w:color w:val="000000"/>
          <w:sz w:val="32"/>
          <w:szCs w:val="32"/>
        </w:rPr>
        <w:t xml:space="preserve">  </w:t>
      </w:r>
      <w:r>
        <w:rPr>
          <w:rFonts w:hint="eastAsia" w:ascii="仿宋_GB2312" w:eastAsia="仿宋_GB2312"/>
          <w:bCs/>
          <w:color w:val="000000"/>
          <w:sz w:val="32"/>
          <w:szCs w:val="32"/>
        </w:rPr>
        <w:t>项目勘察设计单位、施工单位、监理单位应建立健全档案管理体系，在各自的职责范围内做好政府性投资项目建设文件资料的编制、收集、整理、归档和保管工作。在建设单位组织工程竣工验收时，勘察设计单位、施工单位、监理单位要将符合归档要求的建设工程档案交由项目建设单位管理。</w:t>
      </w:r>
    </w:p>
    <w:p>
      <w:pPr>
        <w:spacing w:line="600" w:lineRule="exact"/>
        <w:ind w:firstLine="643" w:firstLineChars="200"/>
        <w:rPr>
          <w:rFonts w:hint="eastAsia" w:ascii="黑体" w:eastAsia="仿宋_GB2312"/>
          <w:b/>
          <w:bCs/>
          <w:color w:val="000000"/>
          <w:sz w:val="32"/>
          <w:szCs w:val="32"/>
        </w:rPr>
      </w:pPr>
      <w:r>
        <w:rPr>
          <w:rFonts w:hint="eastAsia" w:ascii="仿宋_GB2312" w:eastAsia="仿宋_GB2312"/>
          <w:b/>
          <w:color w:val="000000"/>
          <w:sz w:val="32"/>
          <w:szCs w:val="32"/>
        </w:rPr>
        <w:t xml:space="preserve">第三十三条  </w:t>
      </w:r>
      <w:r>
        <w:rPr>
          <w:rFonts w:hint="eastAsia" w:ascii="仿宋_GB2312" w:eastAsia="仿宋_GB2312"/>
          <w:color w:val="000000"/>
          <w:sz w:val="32"/>
          <w:szCs w:val="32"/>
        </w:rPr>
        <w:t>建立区政府性投资项目全过程投资后评价体系。针对竣工交付后的重大项目，区重点项目服务中心</w:t>
      </w:r>
      <w:r>
        <w:rPr>
          <w:rFonts w:hint="eastAsia" w:ascii="仿宋_GB2312" w:eastAsia="仿宋_GB2312"/>
          <w:bCs/>
          <w:color w:val="000000"/>
          <w:sz w:val="32"/>
          <w:szCs w:val="32"/>
        </w:rPr>
        <w:t>牵头组织</w:t>
      </w:r>
      <w:r>
        <w:rPr>
          <w:rFonts w:hint="eastAsia" w:ascii="仿宋_GB2312" w:eastAsia="仿宋_GB2312"/>
          <w:color w:val="000000"/>
          <w:sz w:val="32"/>
          <w:szCs w:val="32"/>
        </w:rPr>
        <w:t>发改、财政、审计部门及时开展项目后评价工作，重点检验项目决策是否科学，项目审批是否依法依规，项目合同是否严格履行，设计变更是否符合程序，工程建设质量是否达标，资金使用管理是否规范等</w:t>
      </w:r>
      <w:r>
        <w:rPr>
          <w:rFonts w:hint="eastAsia" w:ascii="仿宋_GB2312" w:eastAsia="仿宋_GB2312"/>
          <w:bCs/>
          <w:color w:val="000000"/>
          <w:sz w:val="32"/>
          <w:szCs w:val="32"/>
        </w:rPr>
        <w:t>。</w:t>
      </w:r>
    </w:p>
    <w:p>
      <w:pPr>
        <w:spacing w:before="156" w:beforeLines="50" w:after="156"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第九章  审计监督</w:t>
      </w:r>
    </w:p>
    <w:p>
      <w:pPr>
        <w:spacing w:line="600" w:lineRule="exact"/>
        <w:ind w:firstLine="643" w:firstLineChars="200"/>
        <w:rPr>
          <w:rFonts w:hint="eastAsia" w:ascii="仿宋_GB2312" w:eastAsia="仿宋_GB2312"/>
          <w:bCs/>
          <w:color w:val="000000"/>
          <w:spacing w:val="-4"/>
          <w:sz w:val="32"/>
          <w:szCs w:val="32"/>
        </w:rPr>
      </w:pPr>
      <w:r>
        <w:rPr>
          <w:rFonts w:hint="eastAsia" w:ascii="仿宋_GB2312" w:eastAsia="仿宋_GB2312"/>
          <w:b/>
          <w:bCs/>
          <w:color w:val="000000"/>
          <w:sz w:val="32"/>
          <w:szCs w:val="32"/>
        </w:rPr>
        <w:t xml:space="preserve">第三十四条  </w:t>
      </w:r>
      <w:r>
        <w:rPr>
          <w:rFonts w:hint="eastAsia" w:ascii="仿宋_GB2312" w:eastAsia="仿宋_GB2312"/>
          <w:bCs/>
          <w:color w:val="000000"/>
          <w:spacing w:val="-4"/>
          <w:sz w:val="32"/>
          <w:szCs w:val="32"/>
        </w:rPr>
        <w:t>区审计局每年初拟出当年度政府投资项目审计计划并报区委审计委员会审议通过后实施，项目建设单位如因使用上级专项资金等原因需要审计机关进行审计的，应于上年度年底前将项目信息报送区审计局。年度审计项目计划确定后，项目建设单位再提出审计需求的，须自行报请区委审计委员会批准。</w:t>
      </w:r>
    </w:p>
    <w:p>
      <w:pPr>
        <w:spacing w:line="600" w:lineRule="exact"/>
        <w:ind w:firstLine="643" w:firstLineChars="200"/>
        <w:rPr>
          <w:rFonts w:hint="eastAsia" w:ascii="仿宋_GB2312" w:eastAsia="仿宋_GB2312"/>
          <w:bCs/>
          <w:color w:val="000000"/>
          <w:sz w:val="32"/>
          <w:szCs w:val="32"/>
        </w:rPr>
      </w:pPr>
      <w:r>
        <w:rPr>
          <w:rFonts w:hint="eastAsia" w:ascii="仿宋_GB2312" w:eastAsia="仿宋_GB2312"/>
          <w:b/>
          <w:bCs/>
          <w:color w:val="000000"/>
          <w:sz w:val="32"/>
          <w:szCs w:val="32"/>
        </w:rPr>
        <w:t xml:space="preserve">第三十五条  </w:t>
      </w:r>
      <w:r>
        <w:rPr>
          <w:rFonts w:hint="eastAsia" w:ascii="仿宋_GB2312" w:eastAsia="仿宋_GB2312"/>
          <w:bCs/>
          <w:color w:val="000000"/>
          <w:sz w:val="32"/>
          <w:szCs w:val="32"/>
        </w:rPr>
        <w:t>区审计局采用竣工决（结）算审计、跟踪审计、专项审计调查等形式对政府投资建设项目进行审计监督，并将总投资额2000万元（含）以上的重大项目作为审计重点。审计的主要内容包括项目执行基本建设程序情况、建设资金管理使用情况、工程招标采购及合同履行情况、建设管理情况、工程造价的真实性准确性、投资绩效情况等。</w:t>
      </w:r>
    </w:p>
    <w:p>
      <w:pPr>
        <w:spacing w:line="60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 xml:space="preserve">第三十六条  </w:t>
      </w:r>
      <w:r>
        <w:rPr>
          <w:rFonts w:hint="eastAsia" w:ascii="仿宋_GB2312" w:eastAsia="仿宋_GB2312"/>
          <w:bCs/>
          <w:color w:val="000000"/>
          <w:sz w:val="32"/>
          <w:szCs w:val="32"/>
        </w:rPr>
        <w:t>竣工决（结）算审计是从已完成结算财评的政府投资建设项目中抽查部分项目进行,可在区审计局主导下聘请第三方专业机构和专业人员执行。</w:t>
      </w:r>
    </w:p>
    <w:p>
      <w:pPr>
        <w:spacing w:before="156" w:beforeLines="50" w:after="156" w:afterLines="50"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第十章  监督管理及责任追究</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第三十七条</w:t>
      </w:r>
      <w:r>
        <w:rPr>
          <w:rFonts w:hint="eastAsia" w:ascii="仿宋_GB2312" w:eastAsia="仿宋_GB2312"/>
          <w:color w:val="000000"/>
          <w:sz w:val="32"/>
          <w:szCs w:val="32"/>
        </w:rPr>
        <w:t xml:space="preserve">  项目建设单位有下列行为造成投资失控的，视情节轻重给予限期整改、通报批评、降低绩效薪酬等级或扣减绩效薪酬、暂停项目建设、暂停投资安排等处罚；对直接负责的主管人员和其他直接责任人员，依法追究责任；涉嫌犯罪的，依法移送司法机关处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（一）未落实项目建设单位内部管理责任，责任分解不到位，对项目管理工作人员违法违规行为制止不力的；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（二）未落实工程建设项目法人负责制、项目招投标制、合同管理制、项目监理制，管理混乱的；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（三）未严格管控工程建设项目的各个环节，全过程投资管控责任落实不到位的；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（四）违反政府性投资项目基本建设程序，存在边勘察、边设计、边施工行为的（不含设计施工总承包项目）；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（五）未经批准擅自增加建设内容、扩大建设规模、提高建设标准、改变设计方案，或因管理不善等主观原因造成超概的；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（六）未严格执行工程造价控制有关规定，工程造价审查把关不严，存在缺项漏项、报小建大问题的；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（七）未按规定严格审查技术经济服务成果文件，未按合同约定履行监管责任，或在监管中对发现技术经济服务单位存在违法违规行为未及时制止的；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（八）其他违反法律法规及本办法规定的行为。</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第三十八条</w:t>
      </w:r>
      <w:r>
        <w:rPr>
          <w:rFonts w:hint="eastAsia" w:ascii="仿宋_GB2312" w:eastAsia="仿宋_GB2312"/>
          <w:color w:val="000000"/>
          <w:sz w:val="32"/>
          <w:szCs w:val="32"/>
        </w:rPr>
        <w:t xml:space="preserve">  咨询、勘察、设计、施工、监理等技术经济服务单位有下列行为造成投资失控的，视情节轻重记入不良信用记录，由相关行政主管部门依法处理，并将处理结果上传至云溪区信用平台，纳入信用体系联合惩戒。相关责任人员涉嫌犯罪的，依法移送司法机关处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（一）工程咨询单位咨询服务成果未达到国家深度要求和合同约定要求，估算严重偏离实际的；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（二）勘察单位未按工程建设强制性标准和合同约定进行勘察或弄虚作假、勘察成果深度不达标、勘察内容不完整不真实的；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（三）设计单位未按照工程建设强制性标准、勘察成果文件和合同约定的要求进行建设工程设计，存在错漏碰缺、高估冒算和设计缺陷的；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（四）造价单位出具虚假造价文件，故意抬高或压低工程造价，工程量清单、控制价和结算价误差超出相关规定，不按相关规定和计价管理规定编制预算等造价文件的；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（五）监理单位未根据有关法律、法规以及有关技术标准、工程设计文件和监理合同对工程项目进行有效监理，或存在虚假签证的；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（六）勘察、设计、施工、监理等单位履职不严、弄虚作假或相互串通，提供虚假资料进行虚假变更的；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（七）其他违反法律法规及本办法规定的行为。</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第三十九条</w:t>
      </w:r>
      <w:r>
        <w:rPr>
          <w:rFonts w:hint="eastAsia" w:ascii="仿宋_GB2312" w:eastAsia="仿宋_GB2312"/>
          <w:color w:val="000000"/>
          <w:sz w:val="32"/>
          <w:szCs w:val="32"/>
        </w:rPr>
        <w:t xml:space="preserve">  项目审查审批部门和相关行业主管部门有下列行为造成投资失控的，视情节轻重责令限期改正，予以通报批评，并对直接负责的主管人员和其他直接责任人员依法追究责任；涉嫌犯罪的，依法移送司法机关处理。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（一）未分解落实审查审批责任，责任分解落实不到位的；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（二）未严格执行审查审批标准，审批程序不规范，审查审批意见不实的；</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（三）对事中事后违法违规行为查处不力，或对责任人追究不到位的；</w:t>
      </w:r>
    </w:p>
    <w:p>
      <w:pPr>
        <w:spacing w:line="600" w:lineRule="exact"/>
        <w:ind w:firstLine="640" w:firstLineChars="200"/>
        <w:rPr>
          <w:rFonts w:hint="eastAsia" w:ascii="黑体" w:eastAsia="黑体"/>
          <w:color w:val="000000"/>
          <w:sz w:val="32"/>
          <w:szCs w:val="32"/>
        </w:rPr>
      </w:pPr>
      <w:r>
        <w:rPr>
          <w:rFonts w:hint="eastAsia" w:ascii="仿宋_GB2312" w:eastAsia="仿宋_GB2312"/>
          <w:color w:val="000000"/>
          <w:sz w:val="32"/>
          <w:szCs w:val="32"/>
        </w:rPr>
        <w:t>（四）其他违反法律法规及本办法规定的行为。</w:t>
      </w:r>
    </w:p>
    <w:p>
      <w:pPr>
        <w:spacing w:before="156" w:beforeLines="50" w:after="156" w:afterLines="50" w:line="600" w:lineRule="exact"/>
        <w:jc w:val="center"/>
        <w:rPr>
          <w:rFonts w:hint="eastAsia" w:ascii="黑体" w:eastAsia="黑体"/>
          <w:color w:val="000000"/>
          <w:sz w:val="32"/>
          <w:szCs w:val="32"/>
        </w:rPr>
      </w:pPr>
      <w:r>
        <w:rPr>
          <w:rFonts w:hint="eastAsia" w:ascii="黑体" w:hAnsi="黑体" w:eastAsia="黑体"/>
          <w:color w:val="000000"/>
          <w:sz w:val="32"/>
          <w:szCs w:val="32"/>
        </w:rPr>
        <w:t>第十一章</w:t>
      </w:r>
      <w:r>
        <w:rPr>
          <w:rFonts w:hint="eastAsia" w:ascii="黑体" w:eastAsia="黑体"/>
          <w:color w:val="000000"/>
          <w:sz w:val="32"/>
          <w:szCs w:val="32"/>
        </w:rPr>
        <w:t xml:space="preserve">  </w:t>
      </w:r>
      <w:r>
        <w:rPr>
          <w:rFonts w:hint="eastAsia" w:ascii="黑体" w:hAnsi="黑体" w:eastAsia="黑体"/>
          <w:color w:val="000000"/>
          <w:sz w:val="32"/>
          <w:szCs w:val="32"/>
        </w:rPr>
        <w:t>附则</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第四十条</w:t>
      </w:r>
      <w:r>
        <w:rPr>
          <w:rFonts w:hint="eastAsia" w:ascii="仿宋_GB2312" w:eastAsia="仿宋_GB2312"/>
          <w:color w:val="000000"/>
          <w:sz w:val="32"/>
          <w:szCs w:val="32"/>
        </w:rPr>
        <w:t xml:space="preserve">  新建、改建、扩建的城市道路交付使用后五年内，大修的城市道路竣工验收后三年内，未经区人民政府同意，不得挖掘道路进行铺设施工。</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 xml:space="preserve">第四十一条  </w:t>
      </w:r>
      <w:r>
        <w:rPr>
          <w:rFonts w:hint="eastAsia" w:ascii="仿宋_GB2312" w:eastAsia="仿宋_GB2312"/>
          <w:color w:val="000000"/>
          <w:sz w:val="32"/>
          <w:szCs w:val="32"/>
        </w:rPr>
        <w:t>党政机关办公楼等楼堂馆所项目，按党中央、国务院和省委、省政府有关规定严格管理。其中，办公楼维修改造项目的审批工作按省、市有关规定执行。</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第四十二条</w:t>
      </w:r>
      <w:r>
        <w:rPr>
          <w:rFonts w:hint="eastAsia" w:ascii="仿宋_GB2312" w:eastAsia="仿宋_GB2312"/>
          <w:color w:val="000000"/>
          <w:sz w:val="32"/>
          <w:szCs w:val="32"/>
        </w:rPr>
        <w:t xml:space="preserve">  如遇国家、</w:t>
      </w:r>
      <w:r>
        <w:rPr>
          <w:rFonts w:hint="eastAsia" w:ascii="仿宋_GB2312" w:eastAsia="仿宋_GB2312"/>
          <w:color w:val="000000"/>
          <w:spacing w:val="-6"/>
          <w:sz w:val="32"/>
          <w:szCs w:val="32"/>
        </w:rPr>
        <w:t>省、市政策发生变化，或上级行业主管部门对相关政府性投资项目另</w:t>
      </w:r>
      <w:r>
        <w:rPr>
          <w:rFonts w:hint="eastAsia" w:ascii="仿宋_GB2312" w:eastAsia="仿宋_GB2312"/>
          <w:color w:val="000000"/>
          <w:sz w:val="32"/>
          <w:szCs w:val="32"/>
        </w:rPr>
        <w:t>有专门规定的，按其规定办理。</w:t>
      </w:r>
    </w:p>
    <w:p>
      <w:pPr>
        <w:spacing w:line="600" w:lineRule="exact"/>
        <w:ind w:firstLine="643" w:firstLineChars="200"/>
        <w:rPr>
          <w:rFonts w:hint="eastAsia" w:ascii="仿宋_GB2312" w:eastAsia="仿宋_GB2312"/>
          <w:b/>
          <w:bCs/>
          <w:color w:val="000000"/>
          <w:sz w:val="32"/>
          <w:szCs w:val="32"/>
        </w:rPr>
      </w:pPr>
      <w:r>
        <w:rPr>
          <w:rFonts w:hint="eastAsia" w:ascii="仿宋_GB2312" w:eastAsia="仿宋_GB2312"/>
          <w:b/>
          <w:color w:val="000000"/>
          <w:sz w:val="32"/>
          <w:szCs w:val="32"/>
        </w:rPr>
        <w:t>第四十三条</w:t>
      </w:r>
      <w:r>
        <w:rPr>
          <w:rFonts w:hint="eastAsia" w:ascii="仿宋_GB2312" w:eastAsia="仿宋_GB2312"/>
          <w:color w:val="000000"/>
          <w:sz w:val="32"/>
          <w:szCs w:val="32"/>
        </w:rPr>
        <w:t xml:space="preserve">  本办法自公布之日起三十日后施行，有效期5年。区政府之前有关规定与本办法相冲突的，以本办法为准。</w:t>
      </w:r>
      <w:r>
        <w:rPr>
          <w:rFonts w:hint="eastAsia" w:ascii="仿宋_GB2312" w:eastAsia="仿宋_GB2312"/>
          <w:bCs/>
          <w:color w:val="000000"/>
          <w:sz w:val="32"/>
          <w:szCs w:val="32"/>
        </w:rPr>
        <w:t>园区和国有企业参照执行。</w:t>
      </w:r>
    </w:p>
    <w:p>
      <w:pPr>
        <w:spacing w:line="600" w:lineRule="exact"/>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附件：1.询价工作初审表</w:t>
      </w:r>
    </w:p>
    <w:p>
      <w:pPr>
        <w:spacing w:line="60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2.询价结果审批表</w:t>
      </w:r>
    </w:p>
    <w:p>
      <w:pPr>
        <w:spacing w:line="60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3.云溪区政府采购非公开招标采购方式审批备案表</w:t>
      </w:r>
    </w:p>
    <w:p>
      <w:pPr>
        <w:spacing w:line="600" w:lineRule="exact"/>
        <w:ind w:left="1916" w:leftChars="760" w:hanging="320" w:hangingChars="100"/>
        <w:jc w:val="left"/>
        <w:rPr>
          <w:rFonts w:hint="eastAsia" w:ascii="仿宋_GB2312" w:eastAsia="仿宋_GB2312"/>
          <w:color w:val="000000"/>
          <w:sz w:val="32"/>
          <w:szCs w:val="32"/>
        </w:rPr>
      </w:pPr>
      <w:r>
        <w:rPr>
          <w:rFonts w:hint="eastAsia" w:ascii="仿宋_GB2312" w:eastAsia="仿宋_GB2312"/>
          <w:color w:val="000000"/>
          <w:sz w:val="32"/>
          <w:szCs w:val="32"/>
        </w:rPr>
        <w:t>4.云溪区政府采购限额以下项目电子卖场采购方式备案表</w:t>
      </w:r>
    </w:p>
    <w:p>
      <w:pPr>
        <w:spacing w:line="60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5.云溪区政府性投资项目工程变更签证审批表</w:t>
      </w:r>
    </w:p>
    <w:p>
      <w:pPr>
        <w:spacing w:line="600" w:lineRule="exact"/>
        <w:ind w:firstLine="1600" w:firstLineChars="500"/>
        <w:rPr>
          <w:rFonts w:hint="eastAsia"/>
          <w:color w:val="000000"/>
        </w:rPr>
      </w:pPr>
      <w:r>
        <w:rPr>
          <w:rFonts w:hint="eastAsia" w:ascii="仿宋_GB2312" w:eastAsia="仿宋_GB2312"/>
          <w:color w:val="000000"/>
          <w:sz w:val="32"/>
          <w:szCs w:val="32"/>
        </w:rPr>
        <w:t>6.云溪区重点建设项目付款审批表</w:t>
      </w:r>
    </w:p>
    <w:p>
      <w:pPr>
        <w:widowControl/>
        <w:spacing w:line="540" w:lineRule="exact"/>
        <w:jc w:val="left"/>
        <w:rPr>
          <w:rFonts w:ascii="仿宋_GB2312" w:eastAsia="仿宋_GB2312"/>
          <w:color w:val="000000"/>
          <w:sz w:val="32"/>
          <w:szCs w:val="32"/>
        </w:rPr>
        <w:sectPr>
          <w:footerReference r:id="rId7" w:type="default"/>
          <w:footerReference r:id="rId8" w:type="even"/>
          <w:pgSz w:w="11906" w:h="16838"/>
          <w:pgMar w:top="1531" w:right="1531" w:bottom="1531" w:left="1531" w:header="851" w:footer="1247" w:gutter="0"/>
          <w:cols w:space="720" w:num="1"/>
          <w:docGrid w:type="lines" w:linePitch="312" w:charSpace="0"/>
        </w:sectPr>
      </w:pPr>
    </w:p>
    <w:p>
      <w:pPr>
        <w:rPr>
          <w:rFonts w:ascii="黑体" w:hAnsi="黑体" w:eastAsia="黑体"/>
          <w:color w:val="000000"/>
          <w:sz w:val="32"/>
          <w:szCs w:val="32"/>
        </w:rPr>
      </w:pPr>
      <w:r>
        <w:rPr>
          <w:rFonts w:hint="eastAsia" w:ascii="黑体" w:hAnsi="黑体" w:eastAsia="黑体"/>
          <w:color w:val="000000"/>
          <w:sz w:val="32"/>
          <w:szCs w:val="32"/>
        </w:rPr>
        <w:t>附件1</w:t>
      </w:r>
    </w:p>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询价工作初审表</w:t>
      </w:r>
    </w:p>
    <w:p>
      <w:pPr>
        <w:wordWrap w:val="0"/>
        <w:jc w:val="right"/>
        <w:rPr>
          <w:rFonts w:hint="eastAsia" w:ascii="仿宋_GB2312" w:hAnsi="黑体" w:eastAsia="仿宋_GB2312"/>
          <w:color w:val="000000"/>
          <w:sz w:val="28"/>
          <w:szCs w:val="28"/>
        </w:rPr>
      </w:pPr>
      <w:r>
        <w:rPr>
          <w:rFonts w:hint="eastAsia" w:ascii="仿宋_GB2312" w:hAnsi="黑体" w:eastAsia="仿宋_GB2312"/>
          <w:color w:val="000000"/>
          <w:sz w:val="28"/>
          <w:szCs w:val="28"/>
        </w:rPr>
        <w:t xml:space="preserve">年   月   日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询价单位</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询价项目</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询价原因</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初审意见</w:t>
            </w:r>
          </w:p>
        </w:tc>
        <w:tc>
          <w:tcPr>
            <w:tcW w:w="6994"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ind w:firstLine="4480" w:firstLineChars="1600"/>
              <w:rPr>
                <w:rFonts w:hint="eastAsia" w:ascii="仿宋_GB2312" w:hAnsi="黑体" w:eastAsia="仿宋_GB2312"/>
                <w:color w:val="000000"/>
                <w:sz w:val="28"/>
                <w:szCs w:val="28"/>
              </w:rPr>
            </w:pPr>
            <w:r>
              <w:rPr>
                <w:rFonts w:hint="eastAsia" w:ascii="仿宋_GB2312" w:hAnsi="黑体" w:eastAsia="仿宋_GB2312"/>
                <w:color w:val="000000"/>
                <w:sz w:val="28"/>
                <w:szCs w:val="28"/>
              </w:rPr>
              <w:t>（签章）：</w:t>
            </w:r>
          </w:p>
          <w:p>
            <w:pPr>
              <w:wordWrap w:val="0"/>
              <w:jc w:val="right"/>
              <w:rPr>
                <w:rFonts w:ascii="仿宋_GB2312" w:hAnsi="黑体" w:eastAsia="仿宋_GB2312"/>
                <w:color w:val="000000"/>
                <w:sz w:val="28"/>
                <w:szCs w:val="28"/>
              </w:rPr>
            </w:pPr>
            <w:r>
              <w:rPr>
                <w:rFonts w:hint="eastAsia" w:ascii="仿宋_GB2312" w:hAnsi="黑体" w:eastAsia="仿宋_GB2312"/>
                <w:color w:val="00000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分管副区长</w:t>
            </w:r>
          </w:p>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意见</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区委常委、常务</w:t>
            </w:r>
          </w:p>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副区长意见</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bl>
    <w:p>
      <w:pPr>
        <w:ind w:firstLine="280" w:firstLineChars="100"/>
        <w:rPr>
          <w:rFonts w:hint="eastAsia" w:ascii="仿宋_GB2312" w:hAnsi="黑体" w:eastAsia="仿宋_GB2312"/>
          <w:color w:val="000000"/>
          <w:sz w:val="28"/>
          <w:szCs w:val="28"/>
        </w:rPr>
      </w:pPr>
      <w:r>
        <w:rPr>
          <w:rFonts w:hint="eastAsia" w:ascii="仿宋_GB2312" w:hAnsi="黑体" w:eastAsia="仿宋_GB2312"/>
          <w:color w:val="000000"/>
          <w:sz w:val="28"/>
          <w:szCs w:val="28"/>
        </w:rPr>
        <w:t>注：1.由采购人签章的采购清单附后；</w:t>
      </w:r>
    </w:p>
    <w:p>
      <w:pPr>
        <w:ind w:firstLine="840" w:firstLineChars="300"/>
        <w:rPr>
          <w:rFonts w:hint="eastAsia" w:ascii="仿宋_GB2312" w:hAnsi="黑体" w:eastAsia="仿宋_GB2312"/>
          <w:color w:val="000000"/>
          <w:sz w:val="28"/>
          <w:szCs w:val="28"/>
        </w:rPr>
      </w:pPr>
      <w:r>
        <w:rPr>
          <w:rFonts w:hint="eastAsia" w:ascii="仿宋_GB2312" w:hAnsi="黑体" w:eastAsia="仿宋_GB2312"/>
          <w:color w:val="000000"/>
          <w:sz w:val="28"/>
          <w:szCs w:val="28"/>
        </w:rPr>
        <w:t>2.初审部门意见中，需写明是否采用询价及理由和拟定的询价方式。</w:t>
      </w:r>
    </w:p>
    <w:p>
      <w:pPr>
        <w:rPr>
          <w:rFonts w:hint="eastAsia" w:ascii="黑体" w:hAnsi="黑体" w:eastAsia="黑体"/>
          <w:color w:val="000000"/>
          <w:sz w:val="32"/>
          <w:szCs w:val="32"/>
        </w:rPr>
      </w:pPr>
      <w:r>
        <w:rPr>
          <w:rFonts w:hint="eastAsia" w:ascii="黑体" w:hAnsi="黑体" w:eastAsia="黑体"/>
          <w:color w:val="000000"/>
          <w:sz w:val="32"/>
          <w:szCs w:val="32"/>
        </w:rPr>
        <w:br w:type="page"/>
      </w:r>
      <w:r>
        <w:rPr>
          <w:rFonts w:hint="eastAsia" w:ascii="黑体" w:hAnsi="黑体" w:eastAsia="黑体"/>
          <w:color w:val="000000"/>
          <w:sz w:val="32"/>
          <w:szCs w:val="32"/>
        </w:rPr>
        <w:t>附件2</w:t>
      </w:r>
    </w:p>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询价结果审批表</w:t>
      </w:r>
    </w:p>
    <w:p>
      <w:pPr>
        <w:wordWrap w:val="0"/>
        <w:jc w:val="right"/>
        <w:rPr>
          <w:rFonts w:hint="eastAsia" w:ascii="仿宋_GB2312" w:hAnsi="黑体" w:eastAsia="仿宋_GB2312"/>
          <w:color w:val="000000"/>
          <w:sz w:val="28"/>
          <w:szCs w:val="28"/>
        </w:rPr>
      </w:pPr>
      <w:r>
        <w:rPr>
          <w:rFonts w:hint="eastAsia" w:ascii="仿宋_GB2312" w:hAnsi="黑体" w:eastAsia="仿宋_GB2312"/>
          <w:color w:val="000000"/>
          <w:sz w:val="28"/>
          <w:szCs w:val="28"/>
        </w:rPr>
        <w:t xml:space="preserve">年   月   日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询价单位</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询价项目</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询价小组成员</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询价时间</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询价方式</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黑体" w:eastAsia="仿宋_GB2312"/>
                <w:color w:val="000000"/>
                <w:sz w:val="28"/>
                <w:szCs w:val="28"/>
              </w:rPr>
            </w:pPr>
            <w:r>
              <w:rPr>
                <w:rFonts w:hint="eastAsia" w:ascii="仿宋_GB2312" w:hAnsi="黑体" w:eastAsia="仿宋_GB2312"/>
                <w:color w:val="000000"/>
                <w:sz w:val="28"/>
                <w:szCs w:val="28"/>
              </w:rPr>
              <w:t>询价结果</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spacing w:line="240" w:lineRule="exact"/>
              <w:rPr>
                <w:rFonts w:hint="eastAsia" w:ascii="仿宋_GB2312" w:hAnsi="黑体" w:eastAsia="仿宋_GB2312"/>
                <w:color w:val="000000"/>
                <w:sz w:val="28"/>
                <w:szCs w:val="28"/>
              </w:rPr>
            </w:pPr>
          </w:p>
          <w:p>
            <w:pPr>
              <w:wordWrap w:val="0"/>
              <w:jc w:val="right"/>
              <w:rPr>
                <w:rFonts w:ascii="仿宋_GB2312" w:hAnsi="黑体" w:eastAsia="仿宋_GB2312"/>
                <w:color w:val="000000"/>
                <w:sz w:val="28"/>
                <w:szCs w:val="28"/>
              </w:rPr>
            </w:pPr>
            <w:r>
              <w:rPr>
                <w:rFonts w:hint="eastAsia" w:ascii="仿宋_GB2312" w:hAnsi="黑体" w:eastAsia="仿宋_GB2312"/>
                <w:color w:val="00000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黑体" w:eastAsia="仿宋_GB2312"/>
                <w:color w:val="000000"/>
                <w:sz w:val="28"/>
                <w:szCs w:val="28"/>
              </w:rPr>
            </w:pPr>
            <w:r>
              <w:rPr>
                <w:rFonts w:hint="eastAsia" w:ascii="仿宋_GB2312" w:hAnsi="黑体" w:eastAsia="仿宋_GB2312"/>
                <w:color w:val="000000"/>
                <w:sz w:val="28"/>
                <w:szCs w:val="28"/>
              </w:rPr>
              <w:t>分管副区长</w:t>
            </w:r>
          </w:p>
          <w:p>
            <w:pPr>
              <w:spacing w:line="500" w:lineRule="exact"/>
              <w:jc w:val="center"/>
              <w:rPr>
                <w:rFonts w:ascii="仿宋_GB2312" w:hAnsi="黑体" w:eastAsia="仿宋_GB2312"/>
                <w:color w:val="000000"/>
                <w:sz w:val="28"/>
                <w:szCs w:val="28"/>
              </w:rPr>
            </w:pPr>
            <w:r>
              <w:rPr>
                <w:rFonts w:hint="eastAsia" w:ascii="仿宋_GB2312" w:hAnsi="黑体" w:eastAsia="仿宋_GB2312"/>
                <w:color w:val="000000"/>
                <w:sz w:val="28"/>
                <w:szCs w:val="28"/>
              </w:rPr>
              <w:t>意见</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黑体" w:eastAsia="仿宋_GB2312"/>
                <w:color w:val="000000"/>
                <w:sz w:val="28"/>
                <w:szCs w:val="28"/>
              </w:rPr>
            </w:pPr>
            <w:r>
              <w:rPr>
                <w:rFonts w:hint="eastAsia" w:ascii="仿宋_GB2312" w:hAnsi="黑体" w:eastAsia="仿宋_GB2312"/>
                <w:color w:val="000000"/>
                <w:sz w:val="28"/>
                <w:szCs w:val="28"/>
              </w:rPr>
              <w:t>区委常委、常务</w:t>
            </w:r>
          </w:p>
          <w:p>
            <w:pPr>
              <w:spacing w:line="500" w:lineRule="exact"/>
              <w:jc w:val="center"/>
              <w:rPr>
                <w:rFonts w:ascii="仿宋_GB2312" w:hAnsi="黑体" w:eastAsia="仿宋_GB2312"/>
                <w:color w:val="000000"/>
                <w:sz w:val="28"/>
                <w:szCs w:val="28"/>
              </w:rPr>
            </w:pPr>
            <w:r>
              <w:rPr>
                <w:rFonts w:hint="eastAsia" w:ascii="仿宋_GB2312" w:hAnsi="黑体" w:eastAsia="仿宋_GB2312"/>
                <w:color w:val="000000"/>
                <w:sz w:val="28"/>
                <w:szCs w:val="28"/>
              </w:rPr>
              <w:t>副区长意见</w:t>
            </w:r>
          </w:p>
        </w:tc>
        <w:tc>
          <w:tcPr>
            <w:tcW w:w="699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黑体" w:eastAsia="仿宋_GB2312"/>
                <w:color w:val="000000"/>
                <w:sz w:val="28"/>
                <w:szCs w:val="28"/>
              </w:rPr>
            </w:pPr>
          </w:p>
        </w:tc>
      </w:tr>
    </w:tbl>
    <w:p>
      <w:pPr>
        <w:spacing w:line="500" w:lineRule="exact"/>
        <w:ind w:firstLine="280" w:firstLineChars="100"/>
        <w:rPr>
          <w:rFonts w:hint="eastAsia" w:ascii="仿宋_GB2312" w:hAnsi="黑体" w:eastAsia="仿宋_GB2312"/>
          <w:color w:val="000000"/>
          <w:sz w:val="28"/>
          <w:szCs w:val="28"/>
        </w:rPr>
      </w:pPr>
      <w:r>
        <w:rPr>
          <w:rFonts w:hint="eastAsia" w:ascii="仿宋_GB2312" w:hAnsi="黑体" w:eastAsia="仿宋_GB2312"/>
          <w:color w:val="000000"/>
          <w:sz w:val="28"/>
          <w:szCs w:val="28"/>
        </w:rPr>
        <w:t>注：1.由采购人签章的采购清单、询价过程中的佐证资料附后；</w:t>
      </w:r>
    </w:p>
    <w:p>
      <w:pPr>
        <w:spacing w:line="500" w:lineRule="exact"/>
        <w:ind w:firstLine="840" w:firstLineChars="300"/>
        <w:rPr>
          <w:rFonts w:hint="eastAsia" w:ascii="仿宋_GB2312" w:hAnsi="黑体" w:eastAsia="仿宋_GB2312"/>
          <w:color w:val="000000"/>
          <w:sz w:val="28"/>
          <w:szCs w:val="28"/>
        </w:rPr>
      </w:pPr>
      <w:r>
        <w:rPr>
          <w:rFonts w:hint="eastAsia" w:ascii="仿宋_GB2312" w:hAnsi="黑体" w:eastAsia="仿宋_GB2312"/>
          <w:color w:val="000000"/>
          <w:sz w:val="28"/>
          <w:szCs w:val="28"/>
        </w:rPr>
        <w:t>2.询价结果写明询价结果取值由来，建设单位与相关参与询价单位</w:t>
      </w:r>
    </w:p>
    <w:p>
      <w:pPr>
        <w:spacing w:line="500" w:lineRule="exact"/>
        <w:ind w:firstLine="1120" w:firstLineChars="400"/>
        <w:rPr>
          <w:rFonts w:hint="eastAsia" w:ascii="仿宋_GB2312" w:hAnsi="黑体" w:eastAsia="仿宋_GB2312"/>
          <w:color w:val="000000"/>
          <w:sz w:val="28"/>
          <w:szCs w:val="28"/>
        </w:rPr>
      </w:pPr>
      <w:r>
        <w:rPr>
          <w:rFonts w:hint="eastAsia" w:ascii="仿宋_GB2312" w:hAnsi="黑体" w:eastAsia="仿宋_GB2312"/>
          <w:color w:val="000000"/>
          <w:sz w:val="28"/>
          <w:szCs w:val="28"/>
        </w:rPr>
        <w:t>签章确认。</w:t>
      </w:r>
    </w:p>
    <w:p>
      <w:pPr>
        <w:rPr>
          <w:rFonts w:hint="eastAsia"/>
          <w:color w:val="000000"/>
        </w:rPr>
      </w:pPr>
      <w:r>
        <w:rPr>
          <w:color w:val="000000"/>
        </w:rPr>
        <w:t xml:space="preserve"> </w:t>
      </w:r>
    </w:p>
    <w:p>
      <w:pPr>
        <w:rPr>
          <w:rFonts w:ascii="黑体" w:hAnsi="黑体" w:eastAsia="黑体"/>
          <w:color w:val="000000"/>
          <w:sz w:val="32"/>
          <w:szCs w:val="32"/>
        </w:rPr>
      </w:pPr>
      <w:r>
        <w:rPr>
          <w:rFonts w:hint="eastAsia" w:ascii="黑体" w:hAnsi="黑体" w:eastAsia="黑体"/>
          <w:color w:val="000000"/>
          <w:sz w:val="32"/>
          <w:szCs w:val="32"/>
        </w:rPr>
        <w:t>附件3</w:t>
      </w:r>
    </w:p>
    <w:p>
      <w:pPr>
        <w:jc w:val="center"/>
        <w:rPr>
          <w:rFonts w:hint="eastAsia" w:ascii="方正小标宋简体" w:eastAsia="方正小标宋简体"/>
          <w:bCs/>
          <w:color w:val="000000"/>
          <w:spacing w:val="-10"/>
          <w:sz w:val="44"/>
          <w:szCs w:val="44"/>
        </w:rPr>
      </w:pPr>
      <w:r>
        <w:rPr>
          <w:rFonts w:hint="eastAsia" w:ascii="方正小标宋简体" w:eastAsia="方正小标宋简体"/>
          <w:bCs/>
          <w:color w:val="000000"/>
          <w:spacing w:val="-10"/>
          <w:sz w:val="44"/>
          <w:szCs w:val="44"/>
        </w:rPr>
        <w:t>云溪区政府采购非公开招标采购方式审批备案表</w:t>
      </w:r>
    </w:p>
    <w:p>
      <w:pPr>
        <w:spacing w:after="157" w:afterLines="50"/>
        <w:rPr>
          <w:rFonts w:hint="eastAsia" w:ascii="方正小标宋简体" w:eastAsia="方正小标宋简体"/>
          <w:bCs/>
          <w:color w:val="000000"/>
          <w:spacing w:val="-10"/>
          <w:sz w:val="44"/>
          <w:szCs w:val="44"/>
        </w:rPr>
      </w:pPr>
      <w:r>
        <w:rPr>
          <w:rFonts w:hint="eastAsia" w:ascii="仿宋_GB2312" w:eastAsia="仿宋_GB2312"/>
          <w:color w:val="000000"/>
          <w:sz w:val="24"/>
          <w:szCs w:val="24"/>
        </w:rPr>
        <w:t>申报单位名称（章）：                                申报日期：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67"/>
        <w:gridCol w:w="1178"/>
        <w:gridCol w:w="125"/>
        <w:gridCol w:w="371"/>
        <w:gridCol w:w="666"/>
        <w:gridCol w:w="106"/>
        <w:gridCol w:w="237"/>
        <w:gridCol w:w="761"/>
        <w:gridCol w:w="191"/>
        <w:gridCol w:w="505"/>
        <w:gridCol w:w="584"/>
        <w:gridCol w:w="517"/>
        <w:gridCol w:w="368"/>
        <w:gridCol w:w="100"/>
        <w:gridCol w:w="50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项目名称</w:t>
            </w:r>
          </w:p>
        </w:tc>
        <w:tc>
          <w:tcPr>
            <w:tcW w:w="3444"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项目编号</w:t>
            </w:r>
          </w:p>
        </w:tc>
        <w:tc>
          <w:tcPr>
            <w:tcW w:w="24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采购类别</w:t>
            </w: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工程</w:t>
            </w:r>
          </w:p>
        </w:tc>
        <w:tc>
          <w:tcPr>
            <w:tcW w:w="11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货物</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服务</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服务项目</w:t>
            </w: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计费基数</w:t>
            </w:r>
          </w:p>
          <w:p>
            <w:pPr>
              <w:ind w:firstLine="210" w:firstLineChars="100"/>
              <w:rPr>
                <w:rFonts w:ascii="仿宋_GB2312" w:eastAsia="仿宋_GB2312"/>
                <w:color w:val="000000"/>
              </w:rPr>
            </w:pPr>
            <w:r>
              <w:rPr>
                <w:rFonts w:hint="eastAsia" w:ascii="仿宋_GB2312" w:eastAsia="仿宋_GB2312"/>
                <w:color w:val="000000"/>
              </w:rPr>
              <w:t>（万元）</w:t>
            </w:r>
          </w:p>
        </w:tc>
        <w:tc>
          <w:tcPr>
            <w:tcW w:w="11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计费依据</w:t>
            </w: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优惠比例</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费用（万元）</w:t>
            </w:r>
          </w:p>
        </w:tc>
        <w:tc>
          <w:tcPr>
            <w:tcW w:w="14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服务要求</w:t>
            </w:r>
          </w:p>
          <w:p>
            <w:pPr>
              <w:jc w:val="center"/>
              <w:rPr>
                <w:rFonts w:ascii="仿宋_GB2312" w:eastAsia="仿宋_GB2312"/>
                <w:color w:val="000000"/>
              </w:rPr>
            </w:pPr>
            <w:r>
              <w:rPr>
                <w:rFonts w:hint="eastAsia" w:ascii="仿宋_GB2312" w:eastAsia="仿宋_GB2312"/>
                <w:color w:val="000000"/>
              </w:rPr>
              <w:t>（资格条件等）</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是否重点项目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仿宋_GB2312" w:eastAsia="仿宋_GB2312"/>
                <w:color w:val="000000"/>
              </w:rPr>
            </w:pPr>
          </w:p>
        </w:tc>
        <w:tc>
          <w:tcPr>
            <w:tcW w:w="11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9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14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6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申请采购方式</w:t>
            </w: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邀请招标</w:t>
            </w:r>
          </w:p>
        </w:tc>
        <w:tc>
          <w:tcPr>
            <w:tcW w:w="13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竞争性谈判</w:t>
            </w: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 xml:space="preserve">询  价 </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竞争性磋商</w:t>
            </w: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rPr>
            </w:pP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138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 xml:space="preserve"> </w:t>
            </w: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67"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资金落实情况</w:t>
            </w:r>
          </w:p>
        </w:tc>
        <w:tc>
          <w:tcPr>
            <w:tcW w:w="16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合    计</w:t>
            </w:r>
          </w:p>
        </w:tc>
        <w:tc>
          <w:tcPr>
            <w:tcW w:w="177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预算拨款</w:t>
            </w:r>
          </w:p>
        </w:tc>
        <w:tc>
          <w:tcPr>
            <w:tcW w:w="17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单位自筹</w:t>
            </w: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rPr>
            </w:pPr>
          </w:p>
        </w:tc>
        <w:tc>
          <w:tcPr>
            <w:tcW w:w="16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 xml:space="preserve"> </w:t>
            </w:r>
          </w:p>
        </w:tc>
        <w:tc>
          <w:tcPr>
            <w:tcW w:w="177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 xml:space="preserve"> </w:t>
            </w:r>
          </w:p>
        </w:tc>
        <w:tc>
          <w:tcPr>
            <w:tcW w:w="17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44"/>
                <w:szCs w:val="44"/>
              </w:rPr>
            </w:pPr>
          </w:p>
        </w:tc>
        <w:tc>
          <w:tcPr>
            <w:tcW w:w="195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6"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采购内容</w:t>
            </w:r>
          </w:p>
        </w:tc>
        <w:tc>
          <w:tcPr>
            <w:tcW w:w="7194" w:type="dxa"/>
            <w:gridSpan w:val="15"/>
            <w:tcBorders>
              <w:top w:val="single" w:color="auto" w:sz="4" w:space="0"/>
              <w:left w:val="single" w:color="auto" w:sz="4" w:space="0"/>
              <w:bottom w:val="single" w:color="auto" w:sz="4" w:space="0"/>
              <w:right w:val="single" w:color="auto" w:sz="4" w:space="0"/>
            </w:tcBorders>
            <w:noWrap w:val="0"/>
            <w:vAlign w:val="bottom"/>
          </w:tcPr>
          <w:p>
            <w:pP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申报理由</w:t>
            </w:r>
          </w:p>
        </w:tc>
        <w:tc>
          <w:tcPr>
            <w:tcW w:w="7194" w:type="dxa"/>
            <w:gridSpan w:val="1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采购人委托</w:t>
            </w:r>
          </w:p>
          <w:p>
            <w:pPr>
              <w:jc w:val="center"/>
              <w:rPr>
                <w:rFonts w:hint="eastAsia" w:ascii="仿宋_GB2312" w:eastAsia="仿宋_GB2312"/>
                <w:color w:val="000000"/>
              </w:rPr>
            </w:pPr>
            <w:r>
              <w:rPr>
                <w:rFonts w:hint="eastAsia" w:ascii="仿宋_GB2312" w:eastAsia="仿宋_GB2312"/>
                <w:color w:val="000000"/>
              </w:rPr>
              <w:t>政府采购代理</w:t>
            </w:r>
          </w:p>
          <w:p>
            <w:pPr>
              <w:jc w:val="center"/>
              <w:rPr>
                <w:rFonts w:ascii="仿宋_GB2312" w:eastAsia="仿宋_GB2312"/>
                <w:color w:val="000000"/>
              </w:rPr>
            </w:pPr>
            <w:r>
              <w:rPr>
                <w:rFonts w:hint="eastAsia" w:ascii="仿宋_GB2312" w:eastAsia="仿宋_GB2312"/>
                <w:color w:val="000000"/>
              </w:rPr>
              <w:t>机构名称</w:t>
            </w:r>
          </w:p>
        </w:tc>
        <w:tc>
          <w:tcPr>
            <w:tcW w:w="7194" w:type="dxa"/>
            <w:gridSpan w:val="1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重点项目服务中心意见</w:t>
            </w:r>
          </w:p>
        </w:tc>
        <w:tc>
          <w:tcPr>
            <w:tcW w:w="7194"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p>
          <w:p>
            <w:pPr>
              <w:jc w:val="center"/>
              <w:rPr>
                <w:rFonts w:hint="eastAsia" w:ascii="仿宋_GB2312" w:eastAsia="仿宋_GB2312"/>
                <w:color w:val="000000"/>
              </w:rPr>
            </w:pPr>
          </w:p>
          <w:p>
            <w:pPr>
              <w:ind w:firstLine="5460" w:firstLineChars="2600"/>
              <w:rPr>
                <w:rFonts w:ascii="仿宋_GB2312" w:eastAsia="仿宋_GB2312"/>
                <w:color w:val="000000"/>
              </w:rPr>
            </w:pPr>
            <w:r>
              <w:rPr>
                <w:rFonts w:hint="eastAsia" w:ascii="仿宋_GB2312" w:eastAsia="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采购办意见</w:t>
            </w:r>
          </w:p>
        </w:tc>
        <w:tc>
          <w:tcPr>
            <w:tcW w:w="7194" w:type="dxa"/>
            <w:gridSpan w:val="1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p>
            <w:pPr>
              <w:rPr>
                <w:rFonts w:hint="eastAsia" w:ascii="仿宋_GB2312" w:eastAsia="仿宋_GB2312"/>
                <w:color w:val="000000"/>
              </w:rPr>
            </w:pPr>
          </w:p>
          <w:p>
            <w:pPr>
              <w:wordWrap w:val="0"/>
              <w:ind w:firstLine="1260" w:firstLineChars="600"/>
              <w:jc w:val="right"/>
              <w:rPr>
                <w:rFonts w:ascii="仿宋_GB2312" w:eastAsia="仿宋_GB2312"/>
                <w:color w:val="000000"/>
              </w:rPr>
            </w:pPr>
            <w:r>
              <w:rPr>
                <w:rFonts w:hint="eastAsia" w:ascii="仿宋_GB2312" w:eastAsia="仿宋_GB2312"/>
                <w:color w:val="00000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财政局分管领导</w:t>
            </w:r>
          </w:p>
          <w:p>
            <w:pPr>
              <w:jc w:val="center"/>
              <w:rPr>
                <w:rFonts w:ascii="仿宋_GB2312" w:eastAsia="仿宋_GB2312"/>
                <w:color w:val="000000"/>
              </w:rPr>
            </w:pPr>
            <w:r>
              <w:rPr>
                <w:rFonts w:hint="eastAsia" w:ascii="仿宋_GB2312" w:eastAsia="仿宋_GB2312"/>
                <w:color w:val="000000"/>
              </w:rPr>
              <w:t>审批意见</w:t>
            </w:r>
          </w:p>
        </w:tc>
        <w:tc>
          <w:tcPr>
            <w:tcW w:w="7194" w:type="dxa"/>
            <w:gridSpan w:val="1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r>
              <w:rPr>
                <w:rFonts w:hint="eastAsia" w:ascii="仿宋_GB2312" w:eastAsia="仿宋_GB2312"/>
                <w:color w:val="000000"/>
              </w:rPr>
              <w:t xml:space="preserve">   </w:t>
            </w:r>
          </w:p>
          <w:p>
            <w:pPr>
              <w:jc w:val="left"/>
              <w:rPr>
                <w:rFonts w:hint="eastAsia" w:ascii="仿宋_GB2312" w:eastAsia="仿宋_GB2312"/>
                <w:color w:val="000000"/>
              </w:rPr>
            </w:pPr>
            <w:r>
              <w:rPr>
                <w:rFonts w:hint="eastAsia" w:ascii="仿宋_GB2312" w:eastAsia="仿宋_GB2312"/>
                <w:color w:val="000000"/>
              </w:rPr>
              <w:t xml:space="preserve">    </w:t>
            </w:r>
          </w:p>
          <w:p>
            <w:pPr>
              <w:ind w:firstLine="1470" w:firstLineChars="700"/>
              <w:jc w:val="left"/>
              <w:rPr>
                <w:rFonts w:ascii="仿宋_GB2312" w:eastAsia="仿宋_GB2312"/>
                <w:color w:val="000000"/>
              </w:rPr>
            </w:pPr>
            <w:r>
              <w:rPr>
                <w:rFonts w:hint="eastAsia" w:ascii="仿宋_GB2312" w:eastAsia="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分管副区长</w:t>
            </w:r>
          </w:p>
          <w:p>
            <w:pPr>
              <w:jc w:val="center"/>
              <w:rPr>
                <w:rFonts w:ascii="仿宋_GB2312" w:eastAsia="仿宋_GB2312"/>
                <w:color w:val="000000"/>
              </w:rPr>
            </w:pPr>
            <w:r>
              <w:rPr>
                <w:rFonts w:hint="eastAsia" w:ascii="仿宋_GB2312" w:eastAsia="仿宋_GB2312"/>
                <w:color w:val="000000"/>
              </w:rPr>
              <w:t>审批意见</w:t>
            </w:r>
          </w:p>
        </w:tc>
        <w:tc>
          <w:tcPr>
            <w:tcW w:w="7194" w:type="dxa"/>
            <w:gridSpan w:val="1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p>
            <w:pPr>
              <w:rPr>
                <w:rFonts w:hint="eastAsia" w:ascii="仿宋_GB2312" w:eastAsia="仿宋_GB2312"/>
                <w:color w:val="000000"/>
              </w:rPr>
            </w:pPr>
          </w:p>
          <w:p>
            <w:pPr>
              <w:rPr>
                <w:rFonts w:ascii="仿宋_GB2312" w:eastAsia="仿宋_GB2312"/>
                <w:color w:val="000000"/>
              </w:rPr>
            </w:pPr>
            <w:r>
              <w:rPr>
                <w:rFonts w:hint="eastAsia" w:ascii="仿宋_GB2312" w:eastAsia="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rPr>
            </w:pPr>
            <w:r>
              <w:rPr>
                <w:rFonts w:hint="eastAsia" w:ascii="仿宋_GB2312" w:eastAsia="仿宋_GB2312"/>
                <w:color w:val="000000"/>
              </w:rPr>
              <w:t>项目经办人姓名</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r>
              <w:rPr>
                <w:rFonts w:hint="eastAsia" w:ascii="仿宋_GB2312" w:eastAsia="仿宋_GB2312"/>
                <w:color w:val="000000"/>
              </w:rPr>
              <w:t>手机号码</w:t>
            </w:r>
          </w:p>
        </w:tc>
        <w:tc>
          <w:tcPr>
            <w:tcW w:w="129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r>
              <w:rPr>
                <w:rFonts w:hint="eastAsia" w:ascii="仿宋_GB2312" w:eastAsia="仿宋_GB2312"/>
                <w:color w:val="000000"/>
              </w:rPr>
              <w:t>身份证号</w:t>
            </w:r>
          </w:p>
        </w:tc>
        <w:tc>
          <w:tcPr>
            <w:tcW w:w="2470"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rPr>
            </w:pPr>
          </w:p>
        </w:tc>
      </w:tr>
    </w:tbl>
    <w:p>
      <w:pPr>
        <w:spacing w:before="94" w:beforeLines="30"/>
        <w:ind w:firstLine="240" w:firstLineChars="100"/>
        <w:rPr>
          <w:rFonts w:hint="eastAsia" w:ascii="仿宋_GB2312" w:eastAsia="仿宋_GB2312"/>
          <w:color w:val="000000"/>
          <w:sz w:val="24"/>
          <w:szCs w:val="24"/>
        </w:rPr>
      </w:pPr>
      <w:r>
        <w:rPr>
          <w:rFonts w:hint="eastAsia" w:ascii="仿宋_GB2312" w:eastAsia="仿宋_GB2312"/>
          <w:color w:val="000000"/>
          <w:sz w:val="24"/>
          <w:szCs w:val="24"/>
        </w:rPr>
        <w:t>注：区重点项目第三方服务采购由区重点项目服务中心审核后交采购管理机构备案。</w:t>
      </w:r>
    </w:p>
    <w:p>
      <w:pPr>
        <w:rPr>
          <w:rFonts w:ascii="仿宋_GB2312" w:eastAsia="仿宋_GB2312"/>
          <w:color w:val="000000"/>
          <w:sz w:val="24"/>
          <w:szCs w:val="24"/>
        </w:rPr>
        <w:sectPr>
          <w:pgSz w:w="11906" w:h="16838"/>
          <w:pgMar w:top="1418" w:right="1418" w:bottom="1418" w:left="1418" w:header="851" w:footer="1134" w:gutter="0"/>
          <w:cols w:space="720" w:num="1"/>
          <w:docGrid w:type="lines" w:linePitch="315" w:charSpace="0"/>
        </w:sectPr>
      </w:pPr>
    </w:p>
    <w:p>
      <w:pPr>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附件4</w:t>
      </w:r>
    </w:p>
    <w:p>
      <w:pPr>
        <w:spacing w:line="600" w:lineRule="exact"/>
        <w:jc w:val="center"/>
        <w:rPr>
          <w:rFonts w:hint="eastAsia" w:ascii="方正小标宋简体" w:hAnsi="仿宋_GB2312" w:eastAsia="方正小标宋简体" w:cs="仿宋_GB2312"/>
          <w:color w:val="000000"/>
          <w:kern w:val="0"/>
          <w:sz w:val="44"/>
          <w:szCs w:val="44"/>
        </w:rPr>
      </w:pPr>
      <w:r>
        <w:rPr>
          <w:rFonts w:hint="eastAsia" w:ascii="方正小标宋简体" w:hAnsi="仿宋_GB2312" w:eastAsia="方正小标宋简体" w:cs="仿宋_GB2312"/>
          <w:color w:val="000000"/>
          <w:kern w:val="0"/>
          <w:sz w:val="44"/>
          <w:szCs w:val="44"/>
        </w:rPr>
        <w:t>云溪区政府采购限额以下项目电子卖场采购方式备案表</w:t>
      </w:r>
    </w:p>
    <w:p>
      <w:pPr>
        <w:spacing w:line="560" w:lineRule="exact"/>
        <w:rPr>
          <w:rFonts w:hint="eastAsia" w:ascii="仿宋_GB2312" w:eastAsia="仿宋_GB2312"/>
          <w:color w:val="000000"/>
          <w:sz w:val="28"/>
          <w:szCs w:val="28"/>
        </w:rPr>
      </w:pPr>
      <w:r>
        <w:rPr>
          <w:rFonts w:hint="eastAsia" w:ascii="仿宋_GB2312" w:eastAsia="仿宋_GB2312"/>
          <w:color w:val="000000"/>
          <w:sz w:val="28"/>
          <w:szCs w:val="28"/>
        </w:rPr>
        <w:t>采购人（公章）：                                                                        年   月   日</w:t>
      </w:r>
    </w:p>
    <w:tbl>
      <w:tblPr>
        <w:tblStyle w:val="5"/>
        <w:tblW w:w="14005" w:type="dxa"/>
        <w:tblInd w:w="0" w:type="dxa"/>
        <w:tblLayout w:type="fixed"/>
        <w:tblCellMar>
          <w:top w:w="0" w:type="dxa"/>
          <w:left w:w="28" w:type="dxa"/>
          <w:bottom w:w="0" w:type="dxa"/>
          <w:right w:w="28" w:type="dxa"/>
        </w:tblCellMar>
      </w:tblPr>
      <w:tblGrid>
        <w:gridCol w:w="1729"/>
        <w:gridCol w:w="553"/>
        <w:gridCol w:w="1196"/>
        <w:gridCol w:w="1124"/>
        <w:gridCol w:w="1121"/>
        <w:gridCol w:w="1201"/>
        <w:gridCol w:w="605"/>
        <w:gridCol w:w="590"/>
        <w:gridCol w:w="622"/>
        <w:gridCol w:w="606"/>
        <w:gridCol w:w="606"/>
        <w:gridCol w:w="606"/>
        <w:gridCol w:w="3446"/>
      </w:tblGrid>
      <w:tr>
        <w:tblPrEx>
          <w:tblCellMar>
            <w:top w:w="0" w:type="dxa"/>
            <w:left w:w="28" w:type="dxa"/>
            <w:bottom w:w="0" w:type="dxa"/>
            <w:right w:w="28" w:type="dxa"/>
          </w:tblCellMar>
        </w:tblPrEx>
        <w:trPr>
          <w:trHeight w:val="413"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项目名称</w:t>
            </w:r>
          </w:p>
        </w:tc>
        <w:tc>
          <w:tcPr>
            <w:tcW w:w="5195"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5" w:type="dxa"/>
            <w:gridSpan w:val="2"/>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资金来源</w:t>
            </w:r>
          </w:p>
        </w:tc>
        <w:tc>
          <w:tcPr>
            <w:tcW w:w="2440" w:type="dxa"/>
            <w:gridSpan w:val="4"/>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344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审批意见</w:t>
            </w:r>
          </w:p>
        </w:tc>
      </w:tr>
      <w:tr>
        <w:tblPrEx>
          <w:tblCellMar>
            <w:top w:w="0" w:type="dxa"/>
            <w:left w:w="28" w:type="dxa"/>
            <w:bottom w:w="0" w:type="dxa"/>
            <w:right w:w="28" w:type="dxa"/>
          </w:tblCellMar>
        </w:tblPrEx>
        <w:trPr>
          <w:trHeight w:val="389"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预算科目</w:t>
            </w:r>
          </w:p>
        </w:tc>
        <w:tc>
          <w:tcPr>
            <w:tcW w:w="553" w:type="dxa"/>
            <w:tcBorders>
              <w:top w:val="single" w:color="000000" w:sz="4" w:space="0"/>
              <w:left w:val="nil"/>
              <w:bottom w:val="single" w:color="000000" w:sz="4" w:space="0"/>
              <w:right w:val="single" w:color="auto"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r>
              <w:rPr>
                <w:rFonts w:hint="eastAsia" w:ascii="仿宋_GB2312" w:eastAsia="仿宋_GB2312"/>
                <w:bCs/>
                <w:color w:val="000000"/>
                <w:kern w:val="0"/>
                <w:sz w:val="22"/>
                <w:szCs w:val="22"/>
              </w:rPr>
              <w:t>项目类别</w:t>
            </w: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p>
        </w:tc>
        <w:tc>
          <w:tcPr>
            <w:tcW w:w="1121" w:type="dxa"/>
            <w:tcBorders>
              <w:top w:val="single" w:color="000000" w:sz="4" w:space="0"/>
              <w:left w:val="nil"/>
              <w:bottom w:val="single" w:color="000000" w:sz="4" w:space="0"/>
              <w:right w:val="single" w:color="auto"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是否重点</w:t>
            </w:r>
          </w:p>
          <w:p>
            <w:pPr>
              <w:widowControl/>
              <w:jc w:val="center"/>
              <w:rPr>
                <w:rFonts w:ascii="仿宋_GB2312" w:eastAsia="仿宋_GB2312"/>
                <w:color w:val="000000"/>
                <w:kern w:val="0"/>
                <w:sz w:val="22"/>
                <w:szCs w:val="22"/>
              </w:rPr>
            </w:pPr>
            <w:r>
              <w:rPr>
                <w:rFonts w:hint="eastAsia" w:ascii="仿宋_GB2312" w:eastAsia="仿宋_GB2312"/>
                <w:bCs/>
                <w:color w:val="000000"/>
                <w:kern w:val="0"/>
                <w:sz w:val="22"/>
                <w:szCs w:val="22"/>
              </w:rPr>
              <w:t>项目</w:t>
            </w: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3635" w:type="dxa"/>
            <w:gridSpan w:val="6"/>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r>
              <w:rPr>
                <w:rFonts w:hint="eastAsia" w:ascii="仿宋_GB2312" w:eastAsia="仿宋_GB2312"/>
                <w:bCs/>
                <w:color w:val="000000"/>
                <w:kern w:val="0"/>
                <w:sz w:val="22"/>
                <w:szCs w:val="22"/>
              </w:rPr>
              <w:t>采购方式</w:t>
            </w:r>
          </w:p>
        </w:tc>
        <w:tc>
          <w:tcPr>
            <w:tcW w:w="3446" w:type="dxa"/>
            <w:tcBorders>
              <w:top w:val="single" w:color="000000" w:sz="4" w:space="0"/>
              <w:left w:val="nil"/>
              <w:bottom w:val="nil"/>
              <w:right w:val="single" w:color="000000" w:sz="4" w:space="0"/>
            </w:tcBorders>
            <w:noWrap/>
            <w:vAlign w:val="center"/>
          </w:tcPr>
          <w:p>
            <w:pPr>
              <w:widowControl/>
              <w:jc w:val="left"/>
              <w:rPr>
                <w:rFonts w:ascii="仿宋_GB2312" w:eastAsia="仿宋_GB2312"/>
                <w:bCs/>
                <w:color w:val="000000"/>
                <w:kern w:val="0"/>
                <w:sz w:val="22"/>
                <w:szCs w:val="22"/>
              </w:rPr>
            </w:pPr>
            <w:r>
              <w:rPr>
                <w:rFonts w:hint="eastAsia" w:ascii="仿宋_GB2312" w:eastAsia="仿宋_GB2312"/>
                <w:bCs/>
                <w:color w:val="000000"/>
                <w:kern w:val="0"/>
                <w:sz w:val="22"/>
                <w:szCs w:val="22"/>
              </w:rPr>
              <w:t xml:space="preserve">单位负责人意见： </w:t>
            </w:r>
          </w:p>
        </w:tc>
      </w:tr>
      <w:tr>
        <w:tblPrEx>
          <w:tblCellMar>
            <w:top w:w="0" w:type="dxa"/>
            <w:left w:w="28" w:type="dxa"/>
            <w:bottom w:w="0" w:type="dxa"/>
            <w:right w:w="28" w:type="dxa"/>
          </w:tblCellMar>
        </w:tblPrEx>
        <w:trPr>
          <w:trHeight w:val="535"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项目明细</w:t>
            </w: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 xml:space="preserve">数量 </w:t>
            </w: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eastAsia="仿宋_GB2312"/>
                <w:bCs/>
                <w:color w:val="000000"/>
                <w:kern w:val="0"/>
                <w:sz w:val="22"/>
                <w:szCs w:val="22"/>
              </w:rPr>
            </w:pPr>
            <w:r>
              <w:rPr>
                <w:rFonts w:hint="eastAsia" w:ascii="仿宋_GB2312" w:eastAsia="仿宋_GB2312"/>
                <w:bCs/>
                <w:color w:val="000000"/>
                <w:kern w:val="0"/>
                <w:sz w:val="22"/>
                <w:szCs w:val="22"/>
              </w:rPr>
              <w:t>单价</w:t>
            </w:r>
          </w:p>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（万元）</w:t>
            </w: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eastAsia="仿宋_GB2312"/>
                <w:bCs/>
                <w:color w:val="000000"/>
                <w:kern w:val="0"/>
                <w:sz w:val="22"/>
                <w:szCs w:val="22"/>
              </w:rPr>
            </w:pPr>
            <w:r>
              <w:rPr>
                <w:rFonts w:hint="eastAsia" w:ascii="仿宋_GB2312" w:eastAsia="仿宋_GB2312"/>
                <w:bCs/>
                <w:color w:val="000000"/>
                <w:kern w:val="0"/>
                <w:sz w:val="22"/>
                <w:szCs w:val="22"/>
              </w:rPr>
              <w:t>金额</w:t>
            </w:r>
          </w:p>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（万元）</w:t>
            </w: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品牌型号</w:t>
            </w: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技术参数</w:t>
            </w:r>
          </w:p>
        </w:tc>
        <w:tc>
          <w:tcPr>
            <w:tcW w:w="605" w:type="dxa"/>
            <w:tcBorders>
              <w:top w:val="single" w:color="000000" w:sz="4" w:space="0"/>
              <w:left w:val="nil"/>
              <w:bottom w:val="single" w:color="000000" w:sz="4" w:space="0"/>
              <w:right w:val="single" w:color="auto" w:sz="4" w:space="0"/>
            </w:tcBorders>
            <w:noWrap/>
            <w:vAlign w:val="center"/>
          </w:tcPr>
          <w:p>
            <w:pPr>
              <w:widowControl/>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直购</w:t>
            </w:r>
          </w:p>
        </w:tc>
        <w:tc>
          <w:tcPr>
            <w:tcW w:w="590" w:type="dxa"/>
            <w:tcBorders>
              <w:top w:val="single" w:color="000000" w:sz="4" w:space="0"/>
              <w:left w:val="nil"/>
              <w:bottom w:val="single" w:color="000000" w:sz="4" w:space="0"/>
              <w:right w:val="single" w:color="auto" w:sz="4" w:space="0"/>
            </w:tcBorders>
            <w:noWrap w:val="0"/>
            <w:vAlign w:val="center"/>
          </w:tcPr>
          <w:p>
            <w:pPr>
              <w:pStyle w:val="11"/>
              <w:numPr>
                <w:ilvl w:val="1"/>
                <w:numId w:val="1"/>
              </w:numPr>
              <w:ind w:left="0" w:firstLineChars="0"/>
              <w:jc w:val="center"/>
              <w:rPr>
                <w:rFonts w:ascii="仿宋_GB2312" w:eastAsia="仿宋_GB2312"/>
                <w:bCs/>
                <w:color w:val="000000"/>
                <w:kern w:val="0"/>
                <w:sz w:val="22"/>
                <w:szCs w:val="22"/>
              </w:rPr>
            </w:pPr>
          </w:p>
        </w:tc>
        <w:tc>
          <w:tcPr>
            <w:tcW w:w="622" w:type="dxa"/>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竞价</w:t>
            </w:r>
          </w:p>
        </w:tc>
        <w:tc>
          <w:tcPr>
            <w:tcW w:w="606" w:type="dxa"/>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bCs/>
                <w:color w:val="000000"/>
                <w:kern w:val="0"/>
                <w:sz w:val="22"/>
                <w:szCs w:val="22"/>
              </w:rPr>
            </w:pPr>
          </w:p>
        </w:tc>
        <w:tc>
          <w:tcPr>
            <w:tcW w:w="606" w:type="dxa"/>
            <w:tcBorders>
              <w:top w:val="single" w:color="000000" w:sz="4" w:space="0"/>
              <w:left w:val="nil"/>
              <w:bottom w:val="single" w:color="000000" w:sz="4" w:space="0"/>
              <w:right w:val="single" w:color="auto" w:sz="4" w:space="0"/>
            </w:tcBorders>
            <w:noWrap w:val="0"/>
            <w:vAlign w:val="center"/>
          </w:tcPr>
          <w:p>
            <w:pPr>
              <w:jc w:val="center"/>
              <w:rPr>
                <w:rFonts w:ascii="仿宋_GB2312" w:eastAsia="仿宋_GB2312"/>
                <w:bCs/>
                <w:color w:val="000000"/>
                <w:kern w:val="0"/>
                <w:sz w:val="22"/>
                <w:szCs w:val="22"/>
              </w:rPr>
            </w:pPr>
            <w:r>
              <w:rPr>
                <w:rFonts w:hint="eastAsia" w:ascii="仿宋_GB2312" w:eastAsia="仿宋_GB2312"/>
                <w:bCs/>
                <w:color w:val="000000"/>
                <w:kern w:val="0"/>
                <w:sz w:val="22"/>
                <w:szCs w:val="22"/>
              </w:rPr>
              <w:t>团购</w:t>
            </w:r>
          </w:p>
        </w:tc>
        <w:tc>
          <w:tcPr>
            <w:tcW w:w="606" w:type="dxa"/>
            <w:tcBorders>
              <w:top w:val="single" w:color="000000" w:sz="4" w:space="0"/>
              <w:left w:val="nil"/>
              <w:bottom w:val="single" w:color="000000" w:sz="4" w:space="0"/>
              <w:right w:val="single" w:color="000000" w:sz="4" w:space="0"/>
            </w:tcBorders>
            <w:noWrap w:val="0"/>
            <w:vAlign w:val="center"/>
          </w:tcPr>
          <w:p>
            <w:pPr>
              <w:ind w:left="39"/>
              <w:jc w:val="left"/>
              <w:rPr>
                <w:rFonts w:ascii="仿宋_GB2312" w:eastAsia="仿宋_GB2312"/>
                <w:bCs/>
                <w:color w:val="000000"/>
                <w:kern w:val="0"/>
                <w:sz w:val="22"/>
                <w:szCs w:val="22"/>
              </w:rPr>
            </w:pPr>
          </w:p>
        </w:tc>
        <w:tc>
          <w:tcPr>
            <w:tcW w:w="3446" w:type="dxa"/>
            <w:tcBorders>
              <w:top w:val="nil"/>
              <w:left w:val="nil"/>
              <w:bottom w:val="nil"/>
              <w:right w:val="single" w:color="000000" w:sz="4" w:space="0"/>
            </w:tcBorders>
            <w:noWrap/>
            <w:vAlign w:val="center"/>
          </w:tcPr>
          <w:p>
            <w:pPr>
              <w:widowControl/>
              <w:jc w:val="left"/>
              <w:rPr>
                <w:rFonts w:ascii="仿宋_GB2312" w:eastAsia="仿宋_GB2312"/>
                <w:color w:val="000000"/>
                <w:kern w:val="0"/>
                <w:sz w:val="22"/>
                <w:szCs w:val="22"/>
              </w:rPr>
            </w:pP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nil"/>
            </w:tcBorders>
            <w:noWrap/>
            <w:vAlign w:val="center"/>
          </w:tcPr>
          <w:p>
            <w:pPr>
              <w:widowControl/>
              <w:jc w:val="center"/>
              <w:rPr>
                <w:rFonts w:ascii="仿宋_GB2312" w:eastAsia="仿宋_GB2312"/>
                <w:color w:val="000000"/>
                <w:kern w:val="0"/>
                <w:sz w:val="22"/>
                <w:szCs w:val="22"/>
              </w:rPr>
            </w:pPr>
          </w:p>
        </w:tc>
        <w:tc>
          <w:tcPr>
            <w:tcW w:w="3635" w:type="dxa"/>
            <w:gridSpan w:val="6"/>
            <w:vMerge w:val="restart"/>
            <w:tcBorders>
              <w:top w:val="single" w:color="000000" w:sz="4" w:space="0"/>
              <w:left w:val="single" w:color="000000" w:sz="4" w:space="0"/>
              <w:bottom w:val="single" w:color="000000" w:sz="4" w:space="0"/>
              <w:right w:val="single" w:color="000000" w:sz="4" w:space="0"/>
            </w:tcBorders>
            <w:noWrap/>
            <w:vAlign w:val="top"/>
          </w:tcPr>
          <w:p>
            <w:pPr>
              <w:widowControl/>
              <w:spacing w:before="252" w:beforeLines="80"/>
              <w:rPr>
                <w:rFonts w:ascii="仿宋_GB2312" w:eastAsia="仿宋_GB2312"/>
                <w:color w:val="000000"/>
                <w:kern w:val="0"/>
                <w:sz w:val="22"/>
                <w:szCs w:val="22"/>
              </w:rPr>
            </w:pPr>
            <w:r>
              <w:rPr>
                <w:rFonts w:hint="eastAsia" w:ascii="仿宋_GB2312" w:eastAsia="仿宋_GB2312"/>
                <w:color w:val="000000"/>
                <w:kern w:val="0"/>
                <w:sz w:val="22"/>
                <w:szCs w:val="22"/>
              </w:rPr>
              <w:t>服务要求或资格条件：</w:t>
            </w:r>
          </w:p>
        </w:tc>
        <w:tc>
          <w:tcPr>
            <w:tcW w:w="3446" w:type="dxa"/>
            <w:tcBorders>
              <w:top w:val="nil"/>
              <w:left w:val="nil"/>
              <w:bottom w:val="single" w:color="000000" w:sz="4" w:space="0"/>
              <w:right w:val="single" w:color="000000" w:sz="4" w:space="0"/>
            </w:tcBorders>
            <w:noWrap/>
            <w:vAlign w:val="center"/>
          </w:tcPr>
          <w:p>
            <w:pPr>
              <w:widowControl/>
              <w:wordWrap w:val="0"/>
              <w:jc w:val="right"/>
              <w:rPr>
                <w:rFonts w:ascii="仿宋_GB2312" w:eastAsia="仿宋_GB2312"/>
                <w:color w:val="000000"/>
                <w:kern w:val="0"/>
                <w:sz w:val="22"/>
                <w:szCs w:val="22"/>
              </w:rPr>
            </w:pPr>
            <w:r>
              <w:rPr>
                <w:rFonts w:hint="eastAsia" w:ascii="仿宋_GB2312" w:eastAsia="仿宋_GB2312"/>
                <w:color w:val="000000"/>
                <w:kern w:val="0"/>
                <w:sz w:val="22"/>
                <w:szCs w:val="22"/>
              </w:rPr>
              <w:t xml:space="preserve">                年   月   日  </w:t>
            </w: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single" w:color="000000" w:sz="4" w:space="0"/>
              <w:left w:val="single" w:color="000000" w:sz="4" w:space="0"/>
              <w:bottom w:val="nil"/>
              <w:right w:val="single" w:color="000000" w:sz="4" w:space="0"/>
            </w:tcBorders>
            <w:noWrap/>
            <w:vAlign w:val="center"/>
          </w:tcPr>
          <w:p>
            <w:pPr>
              <w:widowControl/>
              <w:rPr>
                <w:rFonts w:ascii="仿宋_GB2312" w:eastAsia="仿宋_GB2312"/>
                <w:bCs/>
                <w:color w:val="000000"/>
                <w:kern w:val="0"/>
                <w:sz w:val="22"/>
                <w:szCs w:val="22"/>
              </w:rPr>
            </w:pPr>
            <w:r>
              <w:rPr>
                <w:rFonts w:hint="eastAsia" w:ascii="仿宋_GB2312" w:eastAsia="仿宋_GB2312"/>
                <w:bCs/>
                <w:color w:val="000000"/>
                <w:kern w:val="0"/>
                <w:sz w:val="22"/>
                <w:szCs w:val="22"/>
              </w:rPr>
              <w:t>区重点项目服务中心审核：</w:t>
            </w: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nil"/>
              <w:left w:val="single" w:color="000000" w:sz="4" w:space="0"/>
              <w:bottom w:val="nil"/>
              <w:right w:val="single" w:color="000000" w:sz="4" w:space="0"/>
            </w:tcBorders>
            <w:noWrap/>
            <w:vAlign w:val="center"/>
          </w:tcPr>
          <w:p>
            <w:pPr>
              <w:widowControl/>
              <w:jc w:val="center"/>
              <w:rPr>
                <w:rFonts w:ascii="仿宋_GB2312" w:eastAsia="仿宋_GB2312"/>
                <w:color w:val="000000"/>
                <w:kern w:val="0"/>
                <w:sz w:val="22"/>
                <w:szCs w:val="22"/>
              </w:rPr>
            </w:pP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nil"/>
              <w:left w:val="single" w:color="000000" w:sz="4" w:space="0"/>
              <w:bottom w:val="single" w:color="000000" w:sz="4" w:space="0"/>
              <w:right w:val="single" w:color="000000" w:sz="4" w:space="0"/>
            </w:tcBorders>
            <w:noWrap/>
            <w:vAlign w:val="center"/>
          </w:tcPr>
          <w:p>
            <w:pPr>
              <w:widowControl/>
              <w:wordWrap w:val="0"/>
              <w:jc w:val="right"/>
              <w:rPr>
                <w:rFonts w:ascii="仿宋_GB2312" w:eastAsia="仿宋_GB2312"/>
                <w:bCs/>
                <w:color w:val="000000"/>
                <w:kern w:val="0"/>
                <w:sz w:val="22"/>
                <w:szCs w:val="22"/>
              </w:rPr>
            </w:pPr>
            <w:r>
              <w:rPr>
                <w:rFonts w:hint="eastAsia" w:ascii="仿宋_GB2312" w:eastAsia="仿宋_GB2312"/>
                <w:color w:val="000000"/>
                <w:kern w:val="0"/>
                <w:sz w:val="22"/>
                <w:szCs w:val="22"/>
              </w:rPr>
              <w:t xml:space="preserve">                年   月   日  </w:t>
            </w: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single" w:color="000000" w:sz="4" w:space="0"/>
              <w:left w:val="single" w:color="000000" w:sz="4" w:space="0"/>
              <w:bottom w:val="nil"/>
              <w:right w:val="single" w:color="000000" w:sz="4" w:space="0"/>
            </w:tcBorders>
            <w:noWrap/>
            <w:vAlign w:val="center"/>
          </w:tcPr>
          <w:p>
            <w:pPr>
              <w:widowControl/>
              <w:jc w:val="left"/>
              <w:rPr>
                <w:rFonts w:ascii="仿宋_GB2312" w:eastAsia="仿宋_GB2312"/>
                <w:color w:val="000000"/>
                <w:kern w:val="0"/>
                <w:sz w:val="22"/>
                <w:szCs w:val="22"/>
              </w:rPr>
            </w:pPr>
            <w:r>
              <w:rPr>
                <w:rFonts w:hint="eastAsia" w:ascii="仿宋_GB2312" w:eastAsia="仿宋_GB2312"/>
                <w:bCs/>
                <w:color w:val="000000"/>
                <w:kern w:val="0"/>
                <w:sz w:val="22"/>
                <w:szCs w:val="22"/>
              </w:rPr>
              <w:t>区采购部门审核：</w:t>
            </w: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nil"/>
              <w:left w:val="single" w:color="000000" w:sz="4" w:space="0"/>
              <w:bottom w:val="nil"/>
              <w:right w:val="single" w:color="000000" w:sz="4" w:space="0"/>
            </w:tcBorders>
            <w:noWrap/>
            <w:vAlign w:val="center"/>
          </w:tcPr>
          <w:p>
            <w:pPr>
              <w:widowControl/>
              <w:jc w:val="left"/>
              <w:rPr>
                <w:rFonts w:ascii="仿宋_GB2312" w:eastAsia="仿宋_GB2312"/>
                <w:bCs/>
                <w:color w:val="000000"/>
                <w:kern w:val="0"/>
                <w:sz w:val="22"/>
                <w:szCs w:val="22"/>
              </w:rPr>
            </w:pP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center"/>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nil"/>
              <w:left w:val="single" w:color="000000" w:sz="4" w:space="0"/>
              <w:bottom w:val="single" w:color="000000" w:sz="4" w:space="0"/>
              <w:right w:val="single" w:color="000000" w:sz="4" w:space="0"/>
            </w:tcBorders>
            <w:noWrap/>
            <w:vAlign w:val="center"/>
          </w:tcPr>
          <w:p>
            <w:pPr>
              <w:widowControl/>
              <w:wordWrap w:val="0"/>
              <w:jc w:val="right"/>
              <w:rPr>
                <w:rFonts w:ascii="仿宋_GB2312" w:eastAsia="仿宋_GB2312"/>
                <w:bCs/>
                <w:color w:val="000000"/>
                <w:kern w:val="0"/>
                <w:sz w:val="22"/>
                <w:szCs w:val="22"/>
              </w:rPr>
            </w:pPr>
            <w:r>
              <w:rPr>
                <w:rFonts w:hint="eastAsia" w:ascii="仿宋_GB2312" w:eastAsia="仿宋_GB2312"/>
                <w:color w:val="000000"/>
                <w:kern w:val="0"/>
                <w:sz w:val="22"/>
                <w:szCs w:val="22"/>
              </w:rPr>
              <w:t xml:space="preserve">年   月   日  </w:t>
            </w: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single" w:color="000000" w:sz="4" w:space="0"/>
              <w:left w:val="single" w:color="000000" w:sz="4" w:space="0"/>
              <w:bottom w:val="nil"/>
              <w:right w:val="single" w:color="000000" w:sz="4" w:space="0"/>
            </w:tcBorders>
            <w:noWrap/>
            <w:vAlign w:val="center"/>
          </w:tcPr>
          <w:p>
            <w:pPr>
              <w:widowControl/>
              <w:jc w:val="left"/>
              <w:rPr>
                <w:rFonts w:ascii="仿宋_GB2312" w:eastAsia="仿宋_GB2312"/>
                <w:bCs/>
                <w:color w:val="000000"/>
                <w:kern w:val="0"/>
                <w:sz w:val="22"/>
                <w:szCs w:val="22"/>
              </w:rPr>
            </w:pPr>
            <w:r>
              <w:rPr>
                <w:rFonts w:hint="eastAsia" w:ascii="仿宋_GB2312" w:eastAsia="仿宋_GB2312"/>
                <w:bCs/>
                <w:color w:val="000000"/>
                <w:kern w:val="0"/>
                <w:sz w:val="22"/>
                <w:szCs w:val="22"/>
              </w:rPr>
              <w:t>区级分管领导审批意见：</w:t>
            </w: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nil"/>
              <w:left w:val="single" w:color="000000" w:sz="4" w:space="0"/>
              <w:bottom w:val="nil"/>
              <w:right w:val="single" w:color="000000" w:sz="4" w:space="0"/>
            </w:tcBorders>
            <w:noWrap/>
            <w:vAlign w:val="center"/>
          </w:tcPr>
          <w:p>
            <w:pPr>
              <w:widowControl/>
              <w:jc w:val="left"/>
              <w:rPr>
                <w:rFonts w:ascii="仿宋_GB2312" w:eastAsia="仿宋_GB2312"/>
                <w:color w:val="000000"/>
                <w:kern w:val="0"/>
                <w:sz w:val="22"/>
                <w:szCs w:val="22"/>
              </w:rPr>
            </w:pPr>
          </w:p>
        </w:tc>
      </w:tr>
      <w:tr>
        <w:tblPrEx>
          <w:tblCellMar>
            <w:top w:w="0" w:type="dxa"/>
            <w:left w:w="28" w:type="dxa"/>
            <w:bottom w:w="0" w:type="dxa"/>
            <w:right w:w="28" w:type="dxa"/>
          </w:tblCellMar>
        </w:tblPrEx>
        <w:trPr>
          <w:trHeight w:val="482" w:hRule="atLeast"/>
        </w:trPr>
        <w:tc>
          <w:tcPr>
            <w:tcW w:w="172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553"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96"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4"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12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1201" w:type="dxa"/>
            <w:tcBorders>
              <w:top w:val="single" w:color="000000" w:sz="4" w:space="0"/>
              <w:left w:val="nil"/>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olor w:val="000000"/>
                <w:kern w:val="0"/>
                <w:sz w:val="22"/>
                <w:szCs w:val="22"/>
              </w:rPr>
            </w:pPr>
          </w:p>
        </w:tc>
        <w:tc>
          <w:tcPr>
            <w:tcW w:w="3446" w:type="dxa"/>
            <w:tcBorders>
              <w:top w:val="nil"/>
              <w:left w:val="single" w:color="000000" w:sz="4" w:space="0"/>
              <w:bottom w:val="single" w:color="000000" w:sz="4" w:space="0"/>
              <w:right w:val="single" w:color="000000" w:sz="4" w:space="0"/>
            </w:tcBorders>
            <w:noWrap/>
            <w:vAlign w:val="center"/>
          </w:tcPr>
          <w:p>
            <w:pPr>
              <w:widowControl/>
              <w:jc w:val="left"/>
              <w:rPr>
                <w:rFonts w:ascii="仿宋_GB2312" w:eastAsia="仿宋_GB2312"/>
                <w:color w:val="000000"/>
                <w:kern w:val="0"/>
                <w:sz w:val="22"/>
                <w:szCs w:val="22"/>
              </w:rPr>
            </w:pPr>
            <w:r>
              <w:rPr>
                <w:rFonts w:hint="eastAsia" w:ascii="仿宋_GB2312" w:eastAsia="仿宋_GB2312"/>
                <w:color w:val="000000"/>
                <w:kern w:val="0"/>
                <w:sz w:val="22"/>
                <w:szCs w:val="22"/>
              </w:rPr>
              <w:t xml:space="preserve">                  年   月   日</w:t>
            </w:r>
          </w:p>
        </w:tc>
      </w:tr>
    </w:tbl>
    <w:p>
      <w:pPr>
        <w:spacing w:line="400" w:lineRule="exact"/>
        <w:ind w:firstLine="556"/>
        <w:rPr>
          <w:rFonts w:hint="eastAsia" w:ascii="仿宋_GB2312" w:eastAsia="仿宋_GB2312"/>
          <w:color w:val="000000"/>
          <w:sz w:val="28"/>
          <w:szCs w:val="28"/>
        </w:rPr>
      </w:pPr>
      <w:r>
        <w:rPr>
          <w:rFonts w:hint="eastAsia" w:ascii="仿宋_GB2312" w:eastAsia="仿宋_GB2312"/>
          <w:color w:val="000000"/>
          <w:sz w:val="28"/>
          <w:szCs w:val="28"/>
        </w:rPr>
        <w:t>填报人：                                                   联系电话：</w:t>
      </w:r>
    </w:p>
    <w:p>
      <w:pPr>
        <w:spacing w:line="400" w:lineRule="exact"/>
        <w:ind w:firstLine="555"/>
        <w:rPr>
          <w:rFonts w:hint="eastAsia"/>
          <w:color w:val="000000"/>
        </w:rPr>
      </w:pPr>
      <w:r>
        <w:rPr>
          <w:rFonts w:hint="eastAsia" w:ascii="仿宋_GB2312" w:eastAsia="仿宋_GB2312"/>
          <w:sz w:val="28"/>
          <w:szCs w:val="28"/>
        </w:rPr>
        <w:t>注：本表由采购人</w:t>
      </w:r>
      <w:r>
        <w:rPr>
          <w:rFonts w:hint="eastAsia" w:ascii="仿宋_GB2312" w:eastAsia="仿宋_GB2312"/>
          <w:color w:val="000000"/>
          <w:sz w:val="28"/>
          <w:szCs w:val="28"/>
        </w:rPr>
        <w:t>自存一份原件，审核单位及区采购部门各备案一份（复印件）。</w:t>
      </w:r>
    </w:p>
    <w:p>
      <w:pPr>
        <w:widowControl/>
        <w:jc w:val="left"/>
        <w:rPr>
          <w:rFonts w:ascii="仿宋_GB2312" w:eastAsia="仿宋_GB2312"/>
          <w:color w:val="000000"/>
          <w:sz w:val="28"/>
          <w:szCs w:val="28"/>
        </w:rPr>
        <w:sectPr>
          <w:pgSz w:w="16838" w:h="11906" w:orient="landscape"/>
          <w:pgMar w:top="1304" w:right="1418" w:bottom="1134" w:left="1418" w:header="851" w:footer="992" w:gutter="0"/>
          <w:cols w:space="720" w:num="1"/>
          <w:docGrid w:type="lines" w:linePitch="315" w:charSpace="0"/>
        </w:sectPr>
      </w:pPr>
    </w:p>
    <w:p>
      <w:pPr>
        <w:rPr>
          <w:rFonts w:ascii="黑体" w:hAnsi="黑体" w:eastAsia="黑体"/>
          <w:color w:val="000000"/>
          <w:sz w:val="32"/>
          <w:szCs w:val="32"/>
        </w:rPr>
      </w:pPr>
      <w:r>
        <w:rPr>
          <w:rFonts w:hint="eastAsia" w:ascii="黑体" w:hAnsi="黑体" w:eastAsia="黑体"/>
          <w:color w:val="000000"/>
          <w:sz w:val="32"/>
          <w:szCs w:val="32"/>
        </w:rPr>
        <w:t>附件5</w:t>
      </w:r>
    </w:p>
    <w:p>
      <w:pPr>
        <w:spacing w:before="156" w:beforeLines="50" w:line="6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云溪区政府性投资项目工程变更签证审批表</w:t>
      </w:r>
    </w:p>
    <w:p>
      <w:pPr>
        <w:spacing w:before="156" w:beforeLines="50"/>
        <w:ind w:firstLine="210" w:firstLineChars="100"/>
        <w:rPr>
          <w:rFonts w:hint="eastAsia" w:ascii="方正小标宋简体" w:eastAsia="方正小标宋简体"/>
          <w:color w:val="000000"/>
          <w:sz w:val="44"/>
          <w:szCs w:val="44"/>
        </w:rPr>
      </w:pPr>
      <w:r>
        <w:rPr>
          <w:rFonts w:hint="eastAsia" w:ascii="仿宋_GB2312" w:eastAsia="仿宋_GB2312"/>
          <w:color w:val="000000"/>
        </w:rPr>
        <w:t>工</w:t>
      </w:r>
      <w:r>
        <w:rPr>
          <w:rFonts w:hint="eastAsia" w:ascii="仿宋_GB2312" w:eastAsia="仿宋_GB2312"/>
          <w:color w:val="000000"/>
          <w:sz w:val="24"/>
          <w:szCs w:val="24"/>
        </w:rPr>
        <w:t>程变更编号：</w:t>
      </w:r>
      <w:r>
        <w:rPr>
          <w:rFonts w:hint="eastAsia" w:ascii="仿宋_GB2312" w:hAnsi="宋体" w:eastAsia="仿宋_GB2312"/>
          <w:color w:val="000000"/>
          <w:sz w:val="24"/>
          <w:szCs w:val="24"/>
        </w:rPr>
        <w:t xml:space="preserve">                                 </w:t>
      </w:r>
      <w:r>
        <w:rPr>
          <w:rFonts w:hint="eastAsia" w:ascii="仿宋_GB2312" w:eastAsia="仿宋_GB2312"/>
          <w:color w:val="000000"/>
          <w:sz w:val="24"/>
          <w:szCs w:val="24"/>
        </w:rPr>
        <w:t>申报日期：</w:t>
      </w:r>
      <w:r>
        <w:rPr>
          <w:rFonts w:hint="eastAsia" w:ascii="仿宋_GB2312" w:hAnsi="宋体" w:eastAsia="仿宋_GB2312"/>
          <w:color w:val="000000"/>
          <w:sz w:val="24"/>
          <w:szCs w:val="24"/>
        </w:rPr>
        <w:t xml:space="preserve">    </w:t>
      </w:r>
      <w:r>
        <w:rPr>
          <w:rFonts w:hint="eastAsia" w:ascii="仿宋_GB2312" w:eastAsia="仿宋_GB2312"/>
          <w:color w:val="000000"/>
          <w:sz w:val="24"/>
          <w:szCs w:val="24"/>
        </w:rPr>
        <w:t>年</w:t>
      </w:r>
      <w:r>
        <w:rPr>
          <w:rFonts w:hint="eastAsia" w:ascii="仿宋_GB2312" w:hAnsi="宋体" w:eastAsia="仿宋_GB2312"/>
          <w:color w:val="000000"/>
          <w:sz w:val="24"/>
          <w:szCs w:val="24"/>
        </w:rPr>
        <w:t xml:space="preserve">   </w:t>
      </w:r>
      <w:r>
        <w:rPr>
          <w:rFonts w:hint="eastAsia" w:ascii="仿宋_GB2312" w:eastAsia="仿宋_GB2312"/>
          <w:color w:val="000000"/>
          <w:sz w:val="24"/>
          <w:szCs w:val="24"/>
        </w:rPr>
        <w:t>月</w:t>
      </w:r>
      <w:r>
        <w:rPr>
          <w:rFonts w:hint="eastAsia" w:ascii="仿宋_GB2312" w:hAnsi="宋体" w:eastAsia="仿宋_GB2312"/>
          <w:color w:val="000000"/>
          <w:sz w:val="24"/>
          <w:szCs w:val="24"/>
        </w:rPr>
        <w:t xml:space="preserve">   </w:t>
      </w:r>
      <w:r>
        <w:rPr>
          <w:rFonts w:hint="eastAsia" w:ascii="仿宋_GB2312" w:eastAsia="仿宋_GB2312"/>
          <w:color w:val="000000"/>
          <w:sz w:val="24"/>
          <w:szCs w:val="24"/>
        </w:rPr>
        <w:t>日</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78"/>
        <w:gridCol w:w="114"/>
        <w:gridCol w:w="3009"/>
        <w:gridCol w:w="98"/>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项目单位</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变更原因及内容</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送审金额</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771"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仿宋_GB2312" w:eastAsia="仿宋_GB2312"/>
                <w:color w:val="000000"/>
                <w:sz w:val="28"/>
                <w:szCs w:val="28"/>
              </w:rPr>
            </w:pPr>
            <w:r>
              <w:rPr>
                <w:rFonts w:hint="eastAsia" w:ascii="仿宋_GB2312" w:eastAsia="仿宋_GB2312"/>
                <w:color w:val="000000"/>
                <w:sz w:val="28"/>
                <w:szCs w:val="28"/>
              </w:rPr>
              <w:t>设计单位意见</w:t>
            </w:r>
          </w:p>
        </w:tc>
        <w:tc>
          <w:tcPr>
            <w:tcW w:w="322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ascii="仿宋_GB2312" w:eastAsia="仿宋_GB2312"/>
                <w:color w:val="000000"/>
                <w:sz w:val="28"/>
                <w:szCs w:val="28"/>
              </w:rPr>
            </w:pPr>
            <w:r>
              <w:rPr>
                <w:rFonts w:hint="eastAsia" w:ascii="仿宋_GB2312" w:eastAsia="仿宋_GB2312"/>
                <w:color w:val="000000"/>
                <w:sz w:val="28"/>
                <w:szCs w:val="28"/>
              </w:rPr>
              <w:t>监理单位意见</w:t>
            </w:r>
          </w:p>
        </w:tc>
        <w:tc>
          <w:tcPr>
            <w:tcW w:w="3080" w:type="dxa"/>
            <w:tcBorders>
              <w:top w:val="single" w:color="auto" w:sz="4" w:space="0"/>
              <w:left w:val="single" w:color="auto" w:sz="4" w:space="0"/>
              <w:bottom w:val="single" w:color="auto" w:sz="4" w:space="0"/>
              <w:right w:val="single" w:color="auto" w:sz="4" w:space="0"/>
            </w:tcBorders>
            <w:noWrap w:val="0"/>
            <w:vAlign w:val="top"/>
          </w:tcPr>
          <w:p>
            <w:pPr>
              <w:jc w:val="left"/>
              <w:rPr>
                <w:rFonts w:ascii="仿宋_GB2312" w:eastAsia="仿宋_GB2312"/>
                <w:color w:val="000000"/>
                <w:sz w:val="28"/>
                <w:szCs w:val="28"/>
              </w:rPr>
            </w:pPr>
            <w:r>
              <w:rPr>
                <w:rFonts w:hint="eastAsia" w:ascii="仿宋_GB2312" w:eastAsia="仿宋_GB2312"/>
                <w:color w:val="000000"/>
                <w:sz w:val="28"/>
                <w:szCs w:val="28"/>
              </w:rPr>
              <w:t>项目建设单位意见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ind w:firstLine="3080" w:firstLineChars="1100"/>
              <w:jc w:val="left"/>
              <w:rPr>
                <w:rFonts w:ascii="仿宋_GB2312" w:eastAsia="仿宋_GB2312"/>
                <w:color w:val="000000"/>
                <w:sz w:val="28"/>
                <w:szCs w:val="28"/>
              </w:rPr>
            </w:pPr>
            <w:r>
              <w:rPr>
                <w:rFonts w:hint="eastAsia" w:ascii="仿宋_GB2312" w:eastAsia="仿宋_GB2312"/>
                <w:color w:val="000000"/>
                <w:sz w:val="28"/>
                <w:szCs w:val="28"/>
              </w:rPr>
              <w:t>监管成员单位意见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885"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区财政局意见</w:t>
            </w:r>
          </w:p>
          <w:p>
            <w:pPr>
              <w:spacing w:line="560" w:lineRule="exact"/>
              <w:jc w:val="left"/>
              <w:rPr>
                <w:rFonts w:hint="eastAsia" w:ascii="仿宋_GB2312" w:eastAsia="仿宋_GB2312"/>
                <w:color w:val="000000"/>
                <w:sz w:val="28"/>
                <w:szCs w:val="28"/>
              </w:rPr>
            </w:pPr>
          </w:p>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负责人：</w:t>
            </w:r>
          </w:p>
        </w:tc>
        <w:tc>
          <w:tcPr>
            <w:tcW w:w="300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区审计局意见</w:t>
            </w:r>
          </w:p>
          <w:p>
            <w:pPr>
              <w:spacing w:line="560" w:lineRule="exact"/>
              <w:jc w:val="left"/>
              <w:rPr>
                <w:rFonts w:hint="eastAsia" w:ascii="仿宋_GB2312" w:eastAsia="仿宋_GB2312"/>
                <w:color w:val="000000"/>
                <w:sz w:val="28"/>
                <w:szCs w:val="28"/>
              </w:rPr>
            </w:pPr>
          </w:p>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负责人：</w:t>
            </w:r>
          </w:p>
        </w:tc>
        <w:tc>
          <w:tcPr>
            <w:tcW w:w="3178"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区发改局意见</w:t>
            </w:r>
          </w:p>
          <w:p>
            <w:pPr>
              <w:spacing w:line="560" w:lineRule="exact"/>
              <w:jc w:val="left"/>
              <w:rPr>
                <w:rFonts w:hint="eastAsia" w:ascii="仿宋_GB2312" w:eastAsia="仿宋_GB2312"/>
                <w:color w:val="000000"/>
                <w:sz w:val="28"/>
                <w:szCs w:val="28"/>
              </w:rPr>
            </w:pPr>
          </w:p>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eastAsia="仿宋_GB2312"/>
                <w:color w:val="000000"/>
                <w:sz w:val="28"/>
                <w:szCs w:val="28"/>
              </w:rPr>
            </w:pPr>
            <w:r>
              <w:rPr>
                <w:rFonts w:hint="eastAsia" w:ascii="仿宋_GB2312" w:eastAsia="仿宋_GB2312"/>
                <w:color w:val="000000"/>
                <w:sz w:val="28"/>
                <w:szCs w:val="28"/>
              </w:rPr>
              <w:t>区重点项目服务中心意见</w:t>
            </w:r>
          </w:p>
          <w:p>
            <w:pPr>
              <w:spacing w:line="560" w:lineRule="exact"/>
              <w:ind w:firstLine="6300" w:firstLineChars="2250"/>
              <w:jc w:val="left"/>
              <w:rPr>
                <w:rFonts w:hint="eastAsia" w:ascii="仿宋_GB2312" w:eastAsia="仿宋_GB2312"/>
                <w:color w:val="000000"/>
                <w:sz w:val="28"/>
                <w:szCs w:val="28"/>
              </w:rPr>
            </w:pPr>
          </w:p>
          <w:p>
            <w:pPr>
              <w:spacing w:line="560" w:lineRule="exact"/>
              <w:ind w:firstLine="6300" w:firstLineChars="2250"/>
              <w:jc w:val="left"/>
              <w:rPr>
                <w:rFonts w:ascii="仿宋_GB2312" w:eastAsia="仿宋_GB2312"/>
                <w:color w:val="000000"/>
                <w:sz w:val="28"/>
                <w:szCs w:val="28"/>
              </w:rPr>
            </w:pPr>
            <w:r>
              <w:rPr>
                <w:rFonts w:hint="eastAsia" w:ascii="仿宋_GB2312" w:eastAsia="仿宋_GB2312"/>
                <w:color w:val="000000"/>
                <w:sz w:val="28"/>
                <w:szCs w:val="28"/>
              </w:rPr>
              <w:t xml:space="preserve">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jc w:val="left"/>
              <w:rPr>
                <w:rFonts w:ascii="仿宋_GB2312" w:eastAsia="仿宋_GB2312"/>
                <w:color w:val="000000"/>
                <w:sz w:val="28"/>
                <w:szCs w:val="28"/>
              </w:rPr>
            </w:pPr>
            <w:r>
              <w:rPr>
                <w:rFonts w:hint="eastAsia" w:ascii="仿宋_GB2312" w:eastAsia="仿宋_GB2312"/>
                <w:color w:val="000000"/>
                <w:sz w:val="28"/>
                <w:szCs w:val="28"/>
              </w:rPr>
              <w:t>区级领导意见</w:t>
            </w:r>
          </w:p>
        </w:tc>
      </w:tr>
    </w:tbl>
    <w:p>
      <w:pPr>
        <w:ind w:firstLine="210" w:firstLineChars="100"/>
        <w:rPr>
          <w:rFonts w:hint="eastAsia" w:ascii="仿宋_GB2312" w:eastAsia="仿宋_GB2312"/>
          <w:b/>
          <w:bCs/>
          <w:color w:val="000000"/>
        </w:rPr>
      </w:pPr>
      <w:r>
        <w:rPr>
          <w:rFonts w:hint="eastAsia" w:ascii="仿宋_GB2312" w:eastAsia="仿宋_GB2312"/>
          <w:color w:val="000000"/>
        </w:rPr>
        <w:t>注：①此表由项目建设单位呈报，审批后交区发改局、区财政局、区审计局、区重点项目服务中心、建设单位、施工单位各存一份。②项目变更总金额20万元以下，由分管副区长签字；变更金额20万元（含）以上至50万元以下，由分管副区长签署意见报常务副区长签字；变更总金额50万元（含）以上，分管副区长、常务副区长签署意见后，报区长签字。</w:t>
      </w:r>
    </w:p>
    <w:p>
      <w:pPr>
        <w:rPr>
          <w:rFonts w:ascii="黑体" w:hAnsi="黑体" w:eastAsia="黑体" w:cs="仿宋_GB2312"/>
          <w:color w:val="000000"/>
          <w:sz w:val="32"/>
          <w:szCs w:val="32"/>
        </w:rPr>
      </w:pPr>
      <w:r>
        <w:rPr>
          <w:color w:val="000000"/>
          <w:sz w:val="32"/>
          <w:szCs w:val="32"/>
        </w:rPr>
        <w:br w:type="page"/>
      </w:r>
      <w:r>
        <w:rPr>
          <w:rFonts w:hint="eastAsia" w:ascii="黑体" w:hAnsi="黑体" w:eastAsia="黑体" w:cs="仿宋_GB2312"/>
          <w:color w:val="000000"/>
          <w:sz w:val="32"/>
          <w:szCs w:val="32"/>
        </w:rPr>
        <w:t>附件6</w:t>
      </w:r>
    </w:p>
    <w:p>
      <w:pPr>
        <w:spacing w:after="312" w:afterLines="100" w:line="640" w:lineRule="exact"/>
        <w:jc w:val="center"/>
        <w:rPr>
          <w:rFonts w:hint="eastAsia"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云溪区重点建设项目付款审批表</w:t>
      </w:r>
    </w:p>
    <w:tbl>
      <w:tblPr>
        <w:tblStyle w:val="5"/>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2"/>
        <w:gridCol w:w="1793"/>
        <w:gridCol w:w="1109"/>
        <w:gridCol w:w="1831"/>
        <w:gridCol w:w="1241"/>
        <w:gridCol w:w="998"/>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付款申请单位填写栏</w:t>
            </w: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单位名称</w:t>
            </w:r>
          </w:p>
        </w:tc>
        <w:tc>
          <w:tcPr>
            <w:tcW w:w="6817"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项目名称</w:t>
            </w:r>
          </w:p>
        </w:tc>
        <w:tc>
          <w:tcPr>
            <w:tcW w:w="418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宋体" w:eastAsia="仿宋_GB2312" w:cs="宋体"/>
                <w:color w:val="000000"/>
                <w:kern w:val="0"/>
                <w:sz w:val="24"/>
                <w:szCs w:val="24"/>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类别</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合同名称</w:t>
            </w:r>
          </w:p>
        </w:tc>
        <w:tc>
          <w:tcPr>
            <w:tcW w:w="41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金额</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累计付款金额</w:t>
            </w:r>
          </w:p>
        </w:tc>
        <w:tc>
          <w:tcPr>
            <w:tcW w:w="41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大写：</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小写</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本次申请付款</w:t>
            </w:r>
          </w:p>
        </w:tc>
        <w:tc>
          <w:tcPr>
            <w:tcW w:w="418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大写：</w:t>
            </w:r>
          </w:p>
        </w:tc>
        <w:tc>
          <w:tcPr>
            <w:tcW w:w="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小写</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hint="eastAsia" w:ascii="仿宋_GB2312" w:hAnsi="宋体" w:eastAsia="仿宋_GB2312" w:cs="Arial"/>
                <w:color w:val="000000"/>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收款银行全称</w:t>
            </w:r>
          </w:p>
        </w:tc>
        <w:tc>
          <w:tcPr>
            <w:tcW w:w="29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宋体" w:eastAsia="仿宋_GB2312" w:cs="宋体"/>
                <w:color w:val="000000"/>
                <w:kern w:val="0"/>
                <w:sz w:val="24"/>
                <w:szCs w:val="24"/>
              </w:rPr>
            </w:pPr>
          </w:p>
        </w:tc>
        <w:tc>
          <w:tcPr>
            <w:tcW w:w="12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经办人</w:t>
            </w:r>
          </w:p>
        </w:tc>
        <w:tc>
          <w:tcPr>
            <w:tcW w:w="26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收款银行账号</w:t>
            </w:r>
          </w:p>
        </w:tc>
        <w:tc>
          <w:tcPr>
            <w:tcW w:w="29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p>
        </w:tc>
        <w:tc>
          <w:tcPr>
            <w:tcW w:w="124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263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监理单位意见（限于工程类）：本项目已累计完成合同约定内容共计</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万元，已付进度款</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万元，本次可付</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 xml:space="preserve">万元。 </w:t>
            </w:r>
          </w:p>
          <w:p>
            <w:pPr>
              <w:widowControl/>
              <w:wordWrap w:val="0"/>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3364" w:type="dxa"/>
            <w:gridSpan w:val="3"/>
            <w:vMerge w:val="restart"/>
            <w:tcBorders>
              <w:top w:val="nil"/>
              <w:left w:val="single" w:color="000000" w:sz="4" w:space="0"/>
              <w:bottom w:val="single" w:color="000000" w:sz="4" w:space="0"/>
              <w:right w:val="single" w:color="000000" w:sz="4" w:space="0"/>
            </w:tcBorders>
            <w:noWrap w:val="0"/>
            <w:vAlign w:val="top"/>
          </w:tcPr>
          <w:p>
            <w:pPr>
              <w:widowControl/>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质安部门意见（限于工程类，</w:t>
            </w:r>
            <w:r>
              <w:rPr>
                <w:rFonts w:hint="eastAsia" w:ascii="仿宋_GB2312" w:hAnsi="宋体" w:eastAsia="仿宋_GB2312" w:cs="宋体"/>
                <w:color w:val="000000"/>
                <w:spacing w:val="-6"/>
                <w:kern w:val="0"/>
                <w:sz w:val="24"/>
                <w:szCs w:val="24"/>
              </w:rPr>
              <w:t>明确质安状况是否影响</w:t>
            </w:r>
            <w:r>
              <w:rPr>
                <w:rFonts w:hint="eastAsia" w:ascii="仿宋_GB2312" w:hAnsi="宋体" w:eastAsia="仿宋_GB2312" w:cs="宋体"/>
                <w:color w:val="000000"/>
                <w:kern w:val="0"/>
                <w:sz w:val="24"/>
                <w:szCs w:val="24"/>
              </w:rPr>
              <w:t>付款）：</w:t>
            </w:r>
          </w:p>
          <w:p>
            <w:pPr>
              <w:widowControl/>
              <w:jc w:val="righ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p>
            <w:pPr>
              <w:widowControl/>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   月   日</w:t>
            </w:r>
          </w:p>
        </w:tc>
        <w:tc>
          <w:tcPr>
            <w:tcW w:w="5708"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项目经手人意见：</w:t>
            </w: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3364" w:type="dxa"/>
            <w:gridSpan w:val="3"/>
            <w:vMerge w:val="restart"/>
            <w:tcBorders>
              <w:top w:val="nil"/>
              <w:left w:val="single" w:color="000000" w:sz="4" w:space="0"/>
              <w:bottom w:val="single" w:color="000000" w:sz="4" w:space="0"/>
              <w:right w:val="single" w:color="000000" w:sz="4" w:space="0"/>
            </w:tcBorders>
            <w:noWrap w:val="0"/>
            <w:vAlign w:val="top"/>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建设单位财务意见：</w:t>
            </w:r>
          </w:p>
          <w:p>
            <w:pPr>
              <w:widowControl/>
              <w:jc w:val="left"/>
              <w:rPr>
                <w:rFonts w:hint="eastAsia" w:ascii="仿宋_GB2312" w:hAnsi="宋体" w:eastAsia="仿宋_GB2312" w:cs="宋体"/>
                <w:color w:val="000000"/>
                <w:kern w:val="0"/>
                <w:sz w:val="24"/>
                <w:szCs w:val="24"/>
              </w:rPr>
            </w:pPr>
          </w:p>
          <w:p>
            <w:pPr>
              <w:widowControl/>
              <w:wordWrap w:val="0"/>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年   月   日   </w:t>
            </w:r>
          </w:p>
        </w:tc>
        <w:tc>
          <w:tcPr>
            <w:tcW w:w="5708" w:type="dxa"/>
            <w:gridSpan w:val="4"/>
            <w:vMerge w:val="restart"/>
            <w:tcBorders>
              <w:top w:val="nil"/>
              <w:left w:val="single" w:color="000000" w:sz="4" w:space="0"/>
              <w:bottom w:val="single" w:color="000000" w:sz="4" w:space="0"/>
              <w:right w:val="single" w:color="000000" w:sz="4" w:space="0"/>
            </w:tcBorders>
            <w:noWrap w:val="0"/>
            <w:vAlign w:val="top"/>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项目现场负责人意见：</w:t>
            </w:r>
          </w:p>
          <w:p>
            <w:pPr>
              <w:widowControl/>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0" w:type="auto"/>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c>
          <w:tcPr>
            <w:tcW w:w="0" w:type="auto"/>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建设单位意见：</w:t>
            </w: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区重点项目服务中心意见:</w:t>
            </w:r>
          </w:p>
          <w:p>
            <w:pPr>
              <w:widowControl/>
              <w:rPr>
                <w:rFonts w:hint="eastAsia" w:ascii="仿宋_GB2312" w:hAnsi="宋体" w:eastAsia="仿宋_GB2312" w:cs="宋体"/>
                <w:color w:val="000000"/>
                <w:kern w:val="0"/>
                <w:sz w:val="24"/>
                <w:szCs w:val="24"/>
              </w:rPr>
            </w:pPr>
          </w:p>
          <w:p>
            <w:pPr>
              <w:widowControl/>
              <w:rPr>
                <w:rFonts w:hint="eastAsia" w:ascii="仿宋_GB2312" w:hAnsi="宋体" w:eastAsia="仿宋_GB2312" w:cs="宋体"/>
                <w:color w:val="000000"/>
                <w:kern w:val="0"/>
                <w:sz w:val="24"/>
                <w:szCs w:val="24"/>
              </w:rPr>
            </w:pPr>
          </w:p>
          <w:p>
            <w:pPr>
              <w:widowControl/>
              <w:wordWrap w:val="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noWrap w:val="0"/>
            <w:vAlign w:val="top"/>
          </w:tcPr>
          <w:p>
            <w:pPr>
              <w:widowControl/>
              <w:spacing w:before="156" w:beforeLines="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分管副区长意见：</w:t>
            </w:r>
          </w:p>
          <w:p>
            <w:pPr>
              <w:widowControl/>
              <w:spacing w:line="280" w:lineRule="exact"/>
              <w:rPr>
                <w:rFonts w:hint="eastAsia" w:ascii="仿宋_GB2312" w:hAnsi="宋体" w:eastAsia="仿宋_GB2312" w:cs="宋体"/>
                <w:color w:val="000000"/>
                <w:kern w:val="0"/>
                <w:sz w:val="24"/>
                <w:szCs w:val="24"/>
              </w:rPr>
            </w:pPr>
          </w:p>
          <w:p>
            <w:pPr>
              <w:widowControl/>
              <w:spacing w:line="280" w:lineRule="exact"/>
              <w:rPr>
                <w:rFonts w:hint="eastAsia" w:ascii="仿宋_GB2312" w:hAnsi="宋体" w:eastAsia="仿宋_GB2312" w:cs="宋体"/>
                <w:color w:val="000000"/>
                <w:kern w:val="0"/>
                <w:sz w:val="24"/>
                <w:szCs w:val="24"/>
              </w:rPr>
            </w:pPr>
          </w:p>
          <w:p>
            <w:pPr>
              <w:widowControl/>
              <w:spacing w:line="280" w:lineRule="exact"/>
              <w:rPr>
                <w:rFonts w:hint="eastAsia" w:ascii="仿宋_GB2312" w:hAnsi="宋体" w:eastAsia="仿宋_GB2312" w:cs="宋体"/>
                <w:color w:val="000000"/>
                <w:kern w:val="0"/>
                <w:sz w:val="24"/>
                <w:szCs w:val="24"/>
              </w:rPr>
            </w:pP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bl>
    <w:p>
      <w:pPr>
        <w:sectPr>
          <w:footerReference r:id="rId9" w:type="default"/>
          <w:pgSz w:w="11906" w:h="16838"/>
          <w:pgMar w:top="1531" w:right="1531" w:bottom="1531" w:left="1531" w:header="851" w:footer="1247" w:gutter="0"/>
          <w:cols w:space="720" w:num="1"/>
          <w:titlePg/>
          <w:docGrid w:type="lines" w:linePitch="312" w:charSpace="0"/>
        </w:sect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jc w:val="both"/>
        <w:rPr>
          <w:rFonts w:hint="eastAsia" w:ascii="仿宋_GB2312" w:eastAsia="仿宋_GB2312"/>
          <w:sz w:val="32"/>
          <w:szCs w:val="32"/>
        </w:rPr>
      </w:pPr>
    </w:p>
    <w:p>
      <w:pPr>
        <w:pStyle w:val="12"/>
        <w:spacing w:line="240" w:lineRule="exact"/>
        <w:ind w:firstLine="1280" w:firstLineChars="400"/>
        <w:jc w:val="both"/>
        <w:rPr>
          <w:rFonts w:hint="eastAsia" w:ascii="仿宋_GB2312" w:eastAsia="仿宋_GB2312"/>
          <w:sz w:val="32"/>
          <w:szCs w:val="32"/>
        </w:rPr>
      </w:pPr>
    </w:p>
    <w:tbl>
      <w:tblPr>
        <w:tblStyle w:val="6"/>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4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8845" w:type="dxa"/>
            <w:noWrap w:val="0"/>
            <w:vAlign w:val="top"/>
          </w:tcPr>
          <w:p>
            <w:pPr>
              <w:pStyle w:val="12"/>
              <w:spacing w:line="240" w:lineRule="auto"/>
              <w:ind w:firstLine="280" w:firstLineChars="100"/>
              <w:jc w:val="both"/>
              <w:rPr>
                <w:rFonts w:hint="eastAsia" w:ascii="仿宋_GB2312" w:eastAsia="仿宋_GB2312"/>
                <w:szCs w:val="28"/>
              </w:rPr>
            </w:pPr>
            <w:r>
              <w:rPr>
                <w:rFonts w:hint="eastAsia" w:ascii="仿宋_GB2312" w:eastAsia="仿宋_GB2312"/>
                <w:szCs w:val="28"/>
              </w:rPr>
              <w:t>岳阳市云溪区人民政府办公室              2025年4月14日印发</w:t>
            </w:r>
          </w:p>
        </w:tc>
      </w:tr>
    </w:tbl>
    <w:p>
      <w:pPr>
        <w:spacing w:line="20" w:lineRule="exact"/>
        <w:rPr>
          <w:rFonts w:hint="eastAsia"/>
        </w:rPr>
      </w:pPr>
    </w:p>
    <w:p>
      <w:pPr>
        <w:spacing w:line="580" w:lineRule="exact"/>
        <w:jc w:val="right"/>
        <w:rPr>
          <w:rFonts w:hint="eastAsia" w:ascii="仿宋_GB2312" w:eastAsia="仿宋_GB2312"/>
          <w:sz w:val="32"/>
          <w:szCs w:val="32"/>
        </w:rPr>
        <w:sectPr>
          <w:footerReference r:id="rId10" w:type="default"/>
          <w:footerReference r:id="rId11" w:type="even"/>
          <w:pgSz w:w="11906" w:h="16838"/>
          <w:pgMar w:top="1531" w:right="1531" w:bottom="1531" w:left="1531" w:header="851" w:footer="1247" w:gutter="0"/>
          <w:cols w:space="720" w:num="1"/>
          <w:titlePg/>
          <w:docGrid w:type="lines" w:linePitch="312" w:charSpace="0"/>
        </w:sectPr>
      </w:pPr>
    </w:p>
    <w:p>
      <w:pPr>
        <w:rPr>
          <w:rFonts w:ascii="黑体" w:hAnsi="黑体" w:eastAsia="黑体"/>
          <w:color w:val="000000"/>
          <w:sz w:val="32"/>
          <w:szCs w:val="32"/>
        </w:rPr>
      </w:pPr>
      <w:r>
        <w:rPr>
          <w:rFonts w:hint="eastAsia" w:ascii="黑体" w:hAnsi="黑体" w:eastAsia="黑体"/>
          <w:color w:val="000000"/>
          <w:sz w:val="32"/>
          <w:szCs w:val="32"/>
        </w:rPr>
        <w:t>YXDR—2025—01002</w:t>
      </w:r>
    </w:p>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p>
    <w:p>
      <w:pPr>
        <w:spacing w:before="156" w:beforeLines="50"/>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r>
        <w:rPr>
          <w:rFonts w:hint="eastAsia" w:ascii="仿宋_GB2312" w:eastAsia="仿宋_GB2312"/>
          <w:color w:val="000000"/>
          <w:sz w:val="32"/>
          <w:szCs w:val="32"/>
        </w:rPr>
        <w:t>岳云政办发〔2025〕7号</w:t>
      </w: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岳阳市云溪区人民政府办公室</w:t>
      </w: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关于公布规范性文件清理结果的决定</w:t>
      </w:r>
    </w:p>
    <w:p>
      <w:pPr>
        <w:ind w:firstLine="640" w:firstLineChars="200"/>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r>
        <w:rPr>
          <w:rFonts w:hint="eastAsia" w:ascii="仿宋_GB2312" w:eastAsia="仿宋_GB2312"/>
          <w:color w:val="000000"/>
          <w:spacing w:val="6"/>
          <w:sz w:val="32"/>
          <w:szCs w:val="32"/>
        </w:rPr>
        <w:t>各镇人民政府、街道办事处，绿色化工高新区管委会，区直及驻区有关单位</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优化我区营商环境，加快建设法治政府，完善和落实规范性文件备案审查制度，根据《湖南省规范性文件备案审查条例》《湖南省规范性文件管理办法》《湖南省人民政府办公厅关于做好规范性文件清理工作的通知》（湘政办函〔2025〕17号）和《岳阳市人民政府办公室关于做好规范性文件清理和备案审查工作的通知》</w:t>
      </w:r>
      <w:r>
        <w:rPr>
          <w:rFonts w:hint="eastAsia" w:ascii="仿宋_GB2312" w:eastAsia="仿宋_GB2312"/>
          <w:color w:val="000000"/>
          <w:spacing w:val="-6"/>
          <w:sz w:val="32"/>
          <w:szCs w:val="32"/>
        </w:rPr>
        <w:t>（岳政办函〔2025〕48号）等有关要求，区人民政府对现行有效的</w:t>
      </w:r>
      <w:r>
        <w:rPr>
          <w:rFonts w:hint="eastAsia" w:ascii="仿宋_GB2312" w:eastAsia="仿宋_GB2312"/>
          <w:color w:val="000000"/>
          <w:sz w:val="32"/>
          <w:szCs w:val="32"/>
        </w:rPr>
        <w:t>规范性文件进行了全面清理，现将清理结果公布如下：</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一、《岳阳市云溪区人民政府关于严格执行有序用电措施的通告》等19件规范性文件继续有效。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二、无规范性文件废止。</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三、《岳阳市云溪区人民政府关于对黄标车实行限制通行的通告》等20件规范性文件失效。</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四、《岳阳市云溪区人民政府关于规范云溪区长江水域垂钓管理的通告》等4件规范性文件修改后重新制定。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上述废止、失效的规范性文件，自本决定发布之日起不再执行；继续有效的规范性文件，有效期自规范性文件原发布之日起计算，法定有效期满后自动失效；修改的规范性文件按规范性文件的制定程序办理。</w:t>
      </w: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附件：1.区政府及其办公室继续有效的规范性文件目录</w:t>
      </w:r>
    </w:p>
    <w:p>
      <w:pPr>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2.区政府及其办公室废止的规范性文件目录</w:t>
      </w:r>
    </w:p>
    <w:p>
      <w:pPr>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3.区政府及其办公室失效的规范性文件目录</w:t>
      </w:r>
    </w:p>
    <w:p>
      <w:pPr>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4.区政府及其办公室修改的规范性文件目录</w:t>
      </w: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4224" w:firstLineChars="1320"/>
        <w:rPr>
          <w:rFonts w:hint="eastAsia" w:ascii="仿宋_GB2312" w:eastAsia="仿宋_GB2312"/>
          <w:color w:val="000000"/>
          <w:sz w:val="32"/>
          <w:szCs w:val="32"/>
        </w:rPr>
      </w:pPr>
      <w:r>
        <w:rPr>
          <w:rFonts w:hint="eastAsia" w:ascii="仿宋_GB2312" w:eastAsia="仿宋_GB2312"/>
          <w:color w:val="000000"/>
          <w:sz w:val="32"/>
          <w:szCs w:val="32"/>
        </w:rPr>
        <w:t>岳阳市云溪区人民政府办公室</w:t>
      </w:r>
    </w:p>
    <w:p>
      <w:pPr>
        <w:ind w:right="1260" w:rightChars="600" w:firstLine="640" w:firstLineChars="200"/>
        <w:jc w:val="right"/>
        <w:rPr>
          <w:rFonts w:hint="eastAsia" w:ascii="仿宋_GB2312" w:eastAsia="仿宋_GB2312"/>
          <w:color w:val="000000"/>
          <w:sz w:val="32"/>
          <w:szCs w:val="32"/>
        </w:rPr>
      </w:pPr>
      <w:r>
        <w:rPr>
          <w:rFonts w:hint="eastAsia" w:ascii="仿宋_GB2312" w:eastAsia="仿宋_GB2312"/>
          <w:color w:val="000000"/>
          <w:sz w:val="32"/>
          <w:szCs w:val="32"/>
        </w:rPr>
        <w:t>2025年6月20日</w:t>
      </w:r>
    </w:p>
    <w:p>
      <w:pPr>
        <w:ind w:right="1260" w:rightChars="600" w:firstLine="640" w:firstLineChars="200"/>
        <w:jc w:val="right"/>
        <w:rPr>
          <w:rFonts w:hint="eastAsia" w:ascii="仿宋_GB2312" w:eastAsia="仿宋_GB2312"/>
          <w:color w:val="000000"/>
          <w:sz w:val="32"/>
          <w:szCs w:val="32"/>
        </w:rPr>
      </w:pPr>
    </w:p>
    <w:p>
      <w:pPr>
        <w:ind w:right="1260" w:rightChars="600" w:firstLine="640" w:firstLineChars="200"/>
        <w:rPr>
          <w:rFonts w:ascii="仿宋_GB2312" w:eastAsia="仿宋_GB2312"/>
          <w:color w:val="000000"/>
          <w:sz w:val="32"/>
          <w:szCs w:val="32"/>
        </w:rPr>
        <w:sectPr>
          <w:footerReference r:id="rId12" w:type="default"/>
          <w:footerReference r:id="rId13" w:type="even"/>
          <w:pgSz w:w="11906" w:h="16838"/>
          <w:pgMar w:top="1531" w:right="1531" w:bottom="1531" w:left="1531" w:header="851" w:footer="1304" w:gutter="0"/>
          <w:cols w:space="720" w:num="1"/>
          <w:titlePg/>
          <w:docGrid w:type="lines" w:linePitch="312" w:charSpace="0"/>
        </w:sectPr>
      </w:pPr>
    </w:p>
    <w:p>
      <w:pPr>
        <w:jc w:val="left"/>
        <w:rPr>
          <w:rFonts w:ascii="宋体" w:cs="宋体"/>
          <w:b/>
          <w:bCs/>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jc w:val="center"/>
        <w:rPr>
          <w:rFonts w:hint="eastAsia" w:ascii="方正小标宋简体" w:eastAsia="方正小标宋简体" w:cs="宋体"/>
          <w:bCs/>
          <w:color w:val="000000"/>
          <w:kern w:val="0"/>
          <w:sz w:val="44"/>
          <w:szCs w:val="48"/>
        </w:rPr>
      </w:pPr>
      <w:r>
        <w:rPr>
          <w:rFonts w:hint="eastAsia" w:ascii="方正小标宋简体" w:hAnsi="宋体" w:eastAsia="方正小标宋简体" w:cs="宋体"/>
          <w:bCs/>
          <w:color w:val="000000"/>
          <w:kern w:val="0"/>
          <w:sz w:val="44"/>
          <w:szCs w:val="48"/>
        </w:rPr>
        <w:t>区政府及其办公室继续有效的规范性文件目录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5"/>
        <w:gridCol w:w="1668"/>
        <w:gridCol w:w="6499"/>
        <w:gridCol w:w="287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blHeader/>
        </w:trPr>
        <w:tc>
          <w:tcPr>
            <w:tcW w:w="205"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序号</w:t>
            </w:r>
          </w:p>
        </w:tc>
        <w:tc>
          <w:tcPr>
            <w:tcW w:w="595" w:type="pct"/>
            <w:noWrap w:val="0"/>
            <w:vAlign w:val="center"/>
          </w:tcPr>
          <w:p>
            <w:pPr>
              <w:jc w:val="center"/>
              <w:rPr>
                <w:rFonts w:ascii="黑体" w:hAnsi="黑体" w:eastAsia="黑体" w:cs="仿宋"/>
                <w:bCs/>
                <w:color w:val="000000"/>
                <w:kern w:val="0"/>
                <w:sz w:val="24"/>
              </w:rPr>
            </w:pPr>
            <w:r>
              <w:rPr>
                <w:rFonts w:hint="eastAsia" w:ascii="黑体" w:hAnsi="黑体" w:eastAsia="黑体" w:cs="仿宋"/>
                <w:bCs/>
                <w:color w:val="000000"/>
                <w:kern w:val="0"/>
                <w:sz w:val="24"/>
              </w:rPr>
              <w:t>制定机关</w:t>
            </w:r>
          </w:p>
        </w:tc>
        <w:tc>
          <w:tcPr>
            <w:tcW w:w="2320"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文件标题</w:t>
            </w:r>
          </w:p>
        </w:tc>
        <w:tc>
          <w:tcPr>
            <w:tcW w:w="1027"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文号</w:t>
            </w:r>
          </w:p>
        </w:tc>
        <w:tc>
          <w:tcPr>
            <w:tcW w:w="852"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岳阳市云溪区人民政府关于严格执行有序用电措施的通告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岳阳市云溪区人民政府关于集中整治驾乘摩托车和电动自行车交通违法行为的通告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交警云溪大队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spacing w:line="3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岳阳市云溪区人民政府办公室关于进一步加强区本级政府投资项目审批和概算管理的通知</w:t>
            </w:r>
          </w:p>
        </w:tc>
        <w:tc>
          <w:tcPr>
            <w:tcW w:w="1027"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号</w:t>
            </w:r>
          </w:p>
        </w:tc>
        <w:tc>
          <w:tcPr>
            <w:tcW w:w="852"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spacing w:line="3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岳阳市云溪区人民政府办公室关于印发《岳阳市云溪区既有住宅加装电梯实施方案（试行）》《岳阳市云溪区既有住宅加装电梯奖补办法（试行）》的通知</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13</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岳阳市云溪区人民政府工作规则</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岳云政发〔</w:t>
            </w:r>
            <w:r>
              <w:rPr>
                <w:rFonts w:ascii="仿宋_GB2312" w:hAnsi="仿宋_GB2312" w:eastAsia="仿宋_GB2312" w:cs="仿宋_GB2312"/>
                <w:color w:val="000000"/>
                <w:sz w:val="24"/>
              </w:rPr>
              <w:t>2022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6</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关于加强松材线虫病疫区和疫木管理工作的通告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岳云政发〔</w:t>
            </w:r>
            <w:r>
              <w:rPr>
                <w:rFonts w:ascii="仿宋_GB2312" w:hAnsi="仿宋_GB2312" w:eastAsia="仿宋_GB2312" w:cs="仿宋_GB2312"/>
                <w:color w:val="000000"/>
                <w:sz w:val="24"/>
              </w:rPr>
              <w:t>2022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7</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区人民政府令</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8</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关于全面禁止养殖蛇类的通告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岳阳市云溪区村级财务管理办法</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岳云政发〔</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岳阳市云溪区耕地地力保护补贴政策实施方案</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岳阳市云溪区系统化全域推进海绵城市建设工作方案</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12</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岳阳市云溪区行政许可事项清单（</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年版）</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15</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关于设立湖南石油化工有限公司铁路专用线路安全保护区的通告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岳阳市云溪区集体土地征收和房屋拆迁补偿安置实施细则</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岳云政发〔</w:t>
            </w:r>
            <w:r>
              <w:rPr>
                <w:rFonts w:ascii="仿宋_GB2312" w:hAnsi="仿宋_GB2312" w:eastAsia="仿宋_GB2312" w:cs="仿宋_GB2312"/>
                <w:color w:val="000000"/>
                <w:sz w:val="24"/>
              </w:rPr>
              <w:t>2023</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关于湖南岳阳绿色化工高新技术产业开发区云溪片区实行封闭管理的通告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2024</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绿色化工高新区管委会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岳阳市云溪区城区重污染天气应急预案</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2024</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17</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岳阳市云溪区公共租赁住房管理办法</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2025</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18</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关于规范危货车辆通行、停放、洗消和维修管理的通告</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2025</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5"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19</w:t>
            </w:r>
          </w:p>
        </w:tc>
        <w:tc>
          <w:tcPr>
            <w:tcW w:w="595"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320" w:type="pct"/>
            <w:noWrap w:val="0"/>
            <w:vAlign w:val="center"/>
          </w:tcPr>
          <w:p>
            <w:pPr>
              <w:jc w:val="both"/>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岳阳市云溪区政府性投资项目管理办法</w:t>
            </w:r>
          </w:p>
        </w:tc>
        <w:tc>
          <w:tcPr>
            <w:tcW w:w="1027"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岳云政发〔</w:t>
            </w:r>
            <w:r>
              <w:rPr>
                <w:rFonts w:ascii="仿宋_GB2312" w:hAnsi="仿宋_GB2312" w:eastAsia="仿宋_GB2312" w:cs="仿宋_GB2312"/>
                <w:color w:val="000000"/>
                <w:sz w:val="24"/>
              </w:rPr>
              <w:t>2025</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号</w:t>
            </w:r>
          </w:p>
        </w:tc>
        <w:tc>
          <w:tcPr>
            <w:tcW w:w="852"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区重点项目服务中心</w:t>
            </w:r>
          </w:p>
        </w:tc>
      </w:tr>
    </w:tbl>
    <w:p>
      <w:pPr>
        <w:spacing w:line="360" w:lineRule="exact"/>
        <w:rPr>
          <w:rFonts w:ascii="仿宋" w:hAnsi="仿宋" w:eastAsia="仿宋" w:cs="仿宋"/>
          <w:color w:val="000000"/>
        </w:rPr>
      </w:pPr>
    </w:p>
    <w:p>
      <w:pPr>
        <w:rPr>
          <w:color w:val="000000"/>
        </w:rPr>
        <w:sectPr>
          <w:pgSz w:w="16838" w:h="11906" w:orient="landscape"/>
          <w:pgMar w:top="1418" w:right="1440" w:bottom="1418" w:left="1440" w:header="851" w:footer="1134" w:gutter="0"/>
          <w:cols w:space="720" w:num="1"/>
          <w:docGrid w:type="lines" w:linePitch="312" w:charSpace="0"/>
        </w:sectPr>
      </w:pPr>
    </w:p>
    <w:p>
      <w:pPr>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spacing w:after="312" w:afterLines="100"/>
        <w:jc w:val="center"/>
        <w:rPr>
          <w:rFonts w:eastAsia="方正小标宋简体"/>
          <w:color w:val="000000"/>
          <w:kern w:val="0"/>
          <w:sz w:val="44"/>
          <w:szCs w:val="48"/>
        </w:rPr>
      </w:pPr>
      <w:r>
        <w:rPr>
          <w:rFonts w:hint="eastAsia" w:eastAsia="方正小标宋简体"/>
          <w:bCs/>
          <w:color w:val="000000"/>
          <w:kern w:val="0"/>
          <w:sz w:val="44"/>
          <w:szCs w:val="48"/>
        </w:rPr>
        <w:t>区政府及其办公室废止的规范性文件目录</w:t>
      </w:r>
    </w:p>
    <w:tbl>
      <w:tblPr>
        <w:tblStyle w:val="5"/>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9"/>
        <w:gridCol w:w="1681"/>
        <w:gridCol w:w="6693"/>
        <w:gridCol w:w="33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blHeader/>
        </w:trPr>
        <w:tc>
          <w:tcPr>
            <w:tcW w:w="206"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序号</w:t>
            </w:r>
          </w:p>
        </w:tc>
        <w:tc>
          <w:tcPr>
            <w:tcW w:w="599" w:type="pct"/>
            <w:noWrap w:val="0"/>
            <w:vAlign w:val="center"/>
          </w:tcPr>
          <w:p>
            <w:pPr>
              <w:jc w:val="center"/>
              <w:rPr>
                <w:rFonts w:ascii="黑体" w:hAnsi="黑体" w:eastAsia="黑体" w:cs="仿宋"/>
                <w:bCs/>
                <w:color w:val="000000"/>
                <w:kern w:val="0"/>
                <w:sz w:val="24"/>
              </w:rPr>
            </w:pPr>
            <w:r>
              <w:rPr>
                <w:rFonts w:hint="eastAsia" w:ascii="黑体" w:hAnsi="黑体" w:eastAsia="黑体" w:cs="仿宋"/>
                <w:bCs/>
                <w:color w:val="000000"/>
                <w:kern w:val="0"/>
                <w:sz w:val="24"/>
              </w:rPr>
              <w:t>制定机关</w:t>
            </w:r>
          </w:p>
        </w:tc>
        <w:tc>
          <w:tcPr>
            <w:tcW w:w="2386"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文件标题</w:t>
            </w:r>
          </w:p>
        </w:tc>
        <w:tc>
          <w:tcPr>
            <w:tcW w:w="1197"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文号</w:t>
            </w:r>
          </w:p>
        </w:tc>
        <w:tc>
          <w:tcPr>
            <w:tcW w:w="609"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206"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599"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386" w:type="pct"/>
            <w:noWrap w:val="0"/>
            <w:vAlign w:val="center"/>
          </w:tcPr>
          <w:p>
            <w:pPr>
              <w:rPr>
                <w:rFonts w:ascii="仿宋_GB2312" w:hAnsi="仿宋_GB2312" w:eastAsia="仿宋_GB2312" w:cs="仿宋_GB2312"/>
                <w:b/>
                <w:bCs/>
                <w:color w:val="000000"/>
                <w:kern w:val="0"/>
                <w:sz w:val="24"/>
              </w:rPr>
            </w:pPr>
          </w:p>
        </w:tc>
        <w:tc>
          <w:tcPr>
            <w:tcW w:w="1197" w:type="pct"/>
            <w:noWrap w:val="0"/>
            <w:vAlign w:val="center"/>
          </w:tcPr>
          <w:p>
            <w:pPr>
              <w:jc w:val="center"/>
              <w:rPr>
                <w:rFonts w:ascii="仿宋_GB2312" w:hAnsi="仿宋_GB2312" w:eastAsia="仿宋_GB2312" w:cs="仿宋_GB2312"/>
                <w:color w:val="000000"/>
                <w:sz w:val="24"/>
              </w:rPr>
            </w:pPr>
          </w:p>
        </w:tc>
        <w:tc>
          <w:tcPr>
            <w:tcW w:w="609" w:type="pct"/>
            <w:noWrap w:val="0"/>
            <w:vAlign w:val="center"/>
          </w:tcPr>
          <w:p>
            <w:pPr>
              <w:widowControl/>
              <w:snapToGrid w:val="0"/>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206"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599" w:type="pct"/>
            <w:noWrap w:val="0"/>
            <w:vAlign w:val="center"/>
          </w:tcPr>
          <w:p>
            <w:pPr>
              <w:jc w:val="center"/>
              <w:rPr>
                <w:rFonts w:ascii="仿宋_GB2312" w:hAnsi="仿宋_GB2312" w:eastAsia="仿宋_GB2312" w:cs="仿宋_GB2312"/>
                <w:color w:val="000000"/>
                <w:sz w:val="24"/>
              </w:rPr>
            </w:pPr>
          </w:p>
        </w:tc>
        <w:tc>
          <w:tcPr>
            <w:tcW w:w="2386" w:type="pct"/>
            <w:noWrap w:val="0"/>
            <w:vAlign w:val="center"/>
          </w:tcPr>
          <w:p>
            <w:pPr>
              <w:rPr>
                <w:rFonts w:ascii="仿宋_GB2312" w:hAnsi="仿宋_GB2312" w:eastAsia="仿宋_GB2312" w:cs="仿宋_GB2312"/>
                <w:color w:val="000000"/>
                <w:sz w:val="24"/>
              </w:rPr>
            </w:pPr>
          </w:p>
        </w:tc>
        <w:tc>
          <w:tcPr>
            <w:tcW w:w="1197" w:type="pct"/>
            <w:noWrap w:val="0"/>
            <w:vAlign w:val="center"/>
          </w:tcPr>
          <w:p>
            <w:pPr>
              <w:ind w:left="960" w:hanging="960" w:hangingChars="400"/>
              <w:jc w:val="center"/>
              <w:rPr>
                <w:rFonts w:ascii="仿宋_GB2312" w:hAnsi="仿宋_GB2312" w:eastAsia="仿宋_GB2312" w:cs="仿宋_GB2312"/>
                <w:color w:val="000000"/>
                <w:sz w:val="24"/>
              </w:rPr>
            </w:pPr>
          </w:p>
        </w:tc>
        <w:tc>
          <w:tcPr>
            <w:tcW w:w="609" w:type="pct"/>
            <w:noWrap w:val="0"/>
            <w:vAlign w:val="center"/>
          </w:tcPr>
          <w:p>
            <w:pPr>
              <w:widowControl/>
              <w:snapToGrid w:val="0"/>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206"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tc>
        <w:tc>
          <w:tcPr>
            <w:tcW w:w="599" w:type="pct"/>
            <w:noWrap w:val="0"/>
            <w:vAlign w:val="center"/>
          </w:tcPr>
          <w:p>
            <w:pPr>
              <w:jc w:val="center"/>
              <w:rPr>
                <w:rFonts w:ascii="仿宋_GB2312" w:hAnsi="仿宋_GB2312" w:eastAsia="仿宋_GB2312" w:cs="仿宋_GB2312"/>
                <w:color w:val="000000"/>
                <w:sz w:val="24"/>
              </w:rPr>
            </w:pPr>
          </w:p>
        </w:tc>
        <w:tc>
          <w:tcPr>
            <w:tcW w:w="2386" w:type="pct"/>
            <w:noWrap w:val="0"/>
            <w:vAlign w:val="center"/>
          </w:tcPr>
          <w:p>
            <w:pPr>
              <w:rPr>
                <w:rFonts w:ascii="仿宋_GB2312" w:hAnsi="仿宋_GB2312" w:eastAsia="仿宋_GB2312" w:cs="仿宋_GB2312"/>
                <w:color w:val="000000"/>
                <w:sz w:val="24"/>
              </w:rPr>
            </w:pPr>
          </w:p>
        </w:tc>
        <w:tc>
          <w:tcPr>
            <w:tcW w:w="1197" w:type="pct"/>
            <w:noWrap w:val="0"/>
            <w:vAlign w:val="center"/>
          </w:tcPr>
          <w:p>
            <w:pPr>
              <w:widowControl/>
              <w:snapToGrid w:val="0"/>
              <w:jc w:val="center"/>
              <w:rPr>
                <w:rFonts w:ascii="仿宋_GB2312" w:hAnsi="仿宋_GB2312" w:eastAsia="仿宋_GB2312" w:cs="仿宋_GB2312"/>
                <w:color w:val="000000"/>
                <w:sz w:val="24"/>
              </w:rPr>
            </w:pPr>
          </w:p>
        </w:tc>
        <w:tc>
          <w:tcPr>
            <w:tcW w:w="609" w:type="pct"/>
            <w:noWrap w:val="0"/>
            <w:vAlign w:val="center"/>
          </w:tcPr>
          <w:p>
            <w:pPr>
              <w:widowControl/>
              <w:snapToGrid w:val="0"/>
              <w:spacing w:line="36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trPr>
        <w:tc>
          <w:tcPr>
            <w:tcW w:w="206"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p>
        </w:tc>
        <w:tc>
          <w:tcPr>
            <w:tcW w:w="599" w:type="pct"/>
            <w:noWrap w:val="0"/>
            <w:vAlign w:val="center"/>
          </w:tcPr>
          <w:p>
            <w:pPr>
              <w:jc w:val="center"/>
              <w:rPr>
                <w:rFonts w:ascii="仿宋_GB2312" w:hAnsi="仿宋_GB2312" w:eastAsia="仿宋_GB2312" w:cs="仿宋_GB2312"/>
                <w:color w:val="000000"/>
                <w:sz w:val="24"/>
              </w:rPr>
            </w:pPr>
          </w:p>
        </w:tc>
        <w:tc>
          <w:tcPr>
            <w:tcW w:w="2386" w:type="pct"/>
            <w:noWrap w:val="0"/>
            <w:vAlign w:val="center"/>
          </w:tcPr>
          <w:p>
            <w:pPr>
              <w:rPr>
                <w:rFonts w:ascii="仿宋_GB2312" w:hAnsi="仿宋_GB2312" w:eastAsia="仿宋_GB2312" w:cs="仿宋_GB2312"/>
                <w:color w:val="000000"/>
                <w:sz w:val="24"/>
              </w:rPr>
            </w:pPr>
          </w:p>
        </w:tc>
        <w:tc>
          <w:tcPr>
            <w:tcW w:w="1197" w:type="pct"/>
            <w:noWrap w:val="0"/>
            <w:vAlign w:val="center"/>
          </w:tcPr>
          <w:p>
            <w:pPr>
              <w:jc w:val="center"/>
              <w:rPr>
                <w:rFonts w:ascii="仿宋_GB2312" w:hAnsi="仿宋_GB2312" w:eastAsia="仿宋_GB2312" w:cs="仿宋_GB2312"/>
                <w:color w:val="000000"/>
                <w:sz w:val="24"/>
              </w:rPr>
            </w:pPr>
          </w:p>
        </w:tc>
        <w:tc>
          <w:tcPr>
            <w:tcW w:w="609" w:type="pct"/>
            <w:noWrap w:val="0"/>
            <w:vAlign w:val="center"/>
          </w:tcPr>
          <w:p>
            <w:pPr>
              <w:widowControl/>
              <w:snapToGrid w:val="0"/>
              <w:spacing w:line="360" w:lineRule="exact"/>
              <w:jc w:val="center"/>
              <w:rPr>
                <w:rFonts w:ascii="仿宋_GB2312" w:hAnsi="仿宋_GB2312" w:eastAsia="仿宋_GB2312" w:cs="仿宋_GB2312"/>
                <w:color w:val="000000"/>
                <w:sz w:val="24"/>
              </w:rPr>
            </w:pPr>
          </w:p>
        </w:tc>
      </w:tr>
    </w:tbl>
    <w:p>
      <w:pPr>
        <w:spacing w:line="360" w:lineRule="exact"/>
        <w:rPr>
          <w:rFonts w:ascii="仿宋" w:hAnsi="仿宋" w:eastAsia="仿宋" w:cs="仿宋"/>
          <w:color w:val="000000"/>
        </w:rPr>
      </w:pPr>
    </w:p>
    <w:p>
      <w:pPr>
        <w:rPr>
          <w:color w:val="000000"/>
        </w:rPr>
        <w:sectPr>
          <w:pgSz w:w="16838" w:h="11906" w:orient="landscape"/>
          <w:pgMar w:top="1418" w:right="1440" w:bottom="1418" w:left="1440" w:header="851" w:footer="1247" w:gutter="0"/>
          <w:cols w:space="720" w:num="1"/>
          <w:docGrid w:type="lines" w:linePitch="312" w:charSpace="0"/>
        </w:sectPr>
      </w:pPr>
    </w:p>
    <w:p>
      <w:pPr>
        <w:spacing w:line="220" w:lineRule="atLeas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3</w:t>
      </w:r>
    </w:p>
    <w:p>
      <w:pPr>
        <w:jc w:val="center"/>
        <w:rPr>
          <w:rFonts w:eastAsia="方正小标宋简体"/>
          <w:color w:val="000000"/>
          <w:kern w:val="0"/>
          <w:sz w:val="44"/>
          <w:szCs w:val="48"/>
        </w:rPr>
      </w:pPr>
      <w:r>
        <w:rPr>
          <w:rFonts w:hint="eastAsia" w:eastAsia="方正小标宋简体"/>
          <w:bCs/>
          <w:color w:val="000000"/>
          <w:kern w:val="0"/>
          <w:sz w:val="44"/>
          <w:szCs w:val="48"/>
        </w:rPr>
        <w:t>区政府及其办公室失效的规范性文件目录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13"/>
        <w:gridCol w:w="7378"/>
        <w:gridCol w:w="274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blHeader/>
        </w:trPr>
        <w:tc>
          <w:tcPr>
            <w:tcW w:w="208"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序号</w:t>
            </w:r>
          </w:p>
        </w:tc>
        <w:tc>
          <w:tcPr>
            <w:tcW w:w="576" w:type="pct"/>
            <w:noWrap w:val="0"/>
            <w:vAlign w:val="center"/>
          </w:tcPr>
          <w:p>
            <w:pPr>
              <w:jc w:val="center"/>
              <w:rPr>
                <w:rFonts w:ascii="黑体" w:hAnsi="黑体" w:eastAsia="黑体" w:cs="仿宋"/>
                <w:bCs/>
                <w:color w:val="000000"/>
                <w:kern w:val="0"/>
                <w:sz w:val="24"/>
              </w:rPr>
            </w:pPr>
            <w:r>
              <w:rPr>
                <w:rFonts w:hint="eastAsia" w:ascii="黑体" w:hAnsi="黑体" w:eastAsia="黑体" w:cs="仿宋"/>
                <w:bCs/>
                <w:color w:val="000000"/>
                <w:kern w:val="0"/>
                <w:sz w:val="24"/>
              </w:rPr>
              <w:t>制定机关</w:t>
            </w:r>
          </w:p>
        </w:tc>
        <w:tc>
          <w:tcPr>
            <w:tcW w:w="2633"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文件标题</w:t>
            </w:r>
          </w:p>
        </w:tc>
        <w:tc>
          <w:tcPr>
            <w:tcW w:w="978"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文号</w:t>
            </w:r>
          </w:p>
        </w:tc>
        <w:tc>
          <w:tcPr>
            <w:tcW w:w="604"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岳阳市云溪区人民政府关于对黄标车实行限制通行的通告</w:t>
            </w:r>
          </w:p>
        </w:tc>
        <w:tc>
          <w:tcPr>
            <w:tcW w:w="978" w:type="pct"/>
            <w:noWrap w:val="0"/>
            <w:vAlign w:val="center"/>
          </w:tcPr>
          <w:p>
            <w:pPr>
              <w:widowControl/>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交警云溪大队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岳阳市云溪区人民政府关于加强云溪河管理的通告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12</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岳阳市云溪区人民政府关于对巴陵石化公司环己酮装置厂区道路实行封闭化管理的通告</w:t>
            </w:r>
          </w:p>
        </w:tc>
        <w:tc>
          <w:tcPr>
            <w:tcW w:w="978" w:type="pct"/>
            <w:noWrap w:val="0"/>
            <w:vAlign w:val="center"/>
          </w:tcPr>
          <w:p>
            <w:pPr>
              <w:widowControl/>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2017</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岳阳市云溪区人民政府关于严禁在松杨湖养殖捕捞水产品的通告</w:t>
            </w:r>
          </w:p>
        </w:tc>
        <w:tc>
          <w:tcPr>
            <w:tcW w:w="978" w:type="pct"/>
            <w:noWrap w:val="0"/>
            <w:vAlign w:val="center"/>
          </w:tcPr>
          <w:p>
            <w:pPr>
              <w:widowControl/>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岳阳市云溪区人民政府关于禁止露天焚烧农作物秸秆和垃圾的通告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6</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岳阳市云溪区人民政府办公室关于加强古树名木保护工作的通知</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17</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7</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岳阳市云溪区人民政府关于在长江大堤沿线实行全面禁牧的通告</w:t>
            </w:r>
          </w:p>
        </w:tc>
        <w:tc>
          <w:tcPr>
            <w:tcW w:w="978" w:type="pct"/>
            <w:noWrap w:val="0"/>
            <w:vAlign w:val="center"/>
          </w:tcPr>
          <w:p>
            <w:pPr>
              <w:wordWrap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8</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岳阳市云溪区人民政府关于加强餐厨剩余物（泔水）管理的通告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岳阳市云溪区人民政府关于加强己内酰胺产业链搬迁项目规划管理的通告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w:t>
            </w:r>
            <w:r>
              <w:rPr>
                <w:rFonts w:hint="eastAsia" w:ascii="仿宋_GB2312" w:hAnsi="仿宋_GB2312" w:eastAsia="仿宋_GB2312" w:cs="仿宋_GB2312"/>
                <w:color w:val="000000"/>
                <w:spacing w:val="-20"/>
                <w:sz w:val="24"/>
              </w:rPr>
              <w:t>关于严厉打击电鱼、毒鱼、炸鱼等非法涉渔行为的</w:t>
            </w:r>
            <w:r>
              <w:rPr>
                <w:rFonts w:hint="eastAsia" w:ascii="仿宋_GB2312" w:hAnsi="仿宋_GB2312" w:eastAsia="仿宋_GB2312" w:cs="仿宋_GB2312"/>
                <w:color w:val="000000"/>
                <w:sz w:val="24"/>
              </w:rPr>
              <w:t>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2018</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9</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岳阳市云溪区人民政府关于全面禁止燃放烟花爆竹的通告</w:t>
            </w:r>
          </w:p>
        </w:tc>
        <w:tc>
          <w:tcPr>
            <w:tcW w:w="978" w:type="pct"/>
            <w:noWrap w:val="0"/>
            <w:vAlign w:val="center"/>
          </w:tcPr>
          <w:p>
            <w:pPr>
              <w:wordWrap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12</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岳阳市云溪区人民政府办关于印发《岳阳市云溪区农村集体经济组织成员身份确认指导意见》的通知</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岳阳市云溪区人民政府关于开展</w:t>
            </w:r>
            <w:r>
              <w:rPr>
                <w:rFonts w:ascii="仿宋_GB2312" w:hAnsi="仿宋_GB2312" w:eastAsia="仿宋_GB2312" w:cs="仿宋_GB2312"/>
                <w:color w:val="000000"/>
                <w:sz w:val="24"/>
              </w:rPr>
              <w:t>107</w:t>
            </w:r>
            <w:r>
              <w:rPr>
                <w:rFonts w:hint="eastAsia" w:ascii="仿宋_GB2312" w:hAnsi="仿宋_GB2312" w:eastAsia="仿宋_GB2312" w:cs="仿宋_GB2312"/>
                <w:color w:val="000000"/>
                <w:sz w:val="24"/>
              </w:rPr>
              <w:t>国道云溪段路域环境综合整治的通告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岳阳市云溪区人民政府关于印发《岳阳市云溪区残疾儿童康复救助实施细则》的通知</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岳云政发〔</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岳阳市云溪区人民政府关于划定蒙华铁路（云溪段）线路安全保护区的通告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岳阳市云溪区人民政府关于云溪片区实行岳阳市城区水价标准的通告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17</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岳阳市云溪区人民政府关于加强岳阳临港高新技术产业开发区创新创业基地规划管理的通告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8</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18</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岳阳市云溪区人民政府关于云溪区长江水域实行全面禁捕的通告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19</w:t>
            </w:r>
          </w:p>
        </w:tc>
        <w:tc>
          <w:tcPr>
            <w:tcW w:w="57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633" w:type="pct"/>
            <w:noWrap w:val="0"/>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岳阳市云溪区人民政府关于实施行政复议体制改革有关事项的通告</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2021</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w:t>
            </w:r>
          </w:p>
        </w:tc>
        <w:tc>
          <w:tcPr>
            <w:tcW w:w="576" w:type="pct"/>
            <w:noWrap w:val="0"/>
            <w:vAlign w:val="center"/>
          </w:tcPr>
          <w:p>
            <w:pPr>
              <w:tabs>
                <w:tab w:val="center" w:pos="801"/>
              </w:tabs>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633" w:type="pct"/>
            <w:noWrap w:val="0"/>
            <w:vAlign w:val="center"/>
          </w:tcPr>
          <w:p>
            <w:pPr>
              <w:widowControl/>
              <w:jc w:val="left"/>
              <w:textAlignment w:val="center"/>
              <w:rPr>
                <w:rFonts w:ascii="宋体" w:cs="宋体"/>
                <w:color w:val="000000"/>
                <w:sz w:val="22"/>
                <w:szCs w:val="22"/>
              </w:rPr>
            </w:pPr>
            <w:r>
              <w:rPr>
                <w:rFonts w:hint="eastAsia" w:ascii="仿宋_GB2312" w:hAnsi="仿宋_GB2312" w:eastAsia="仿宋_GB2312" w:cs="仿宋_GB2312"/>
                <w:color w:val="000000"/>
                <w:sz w:val="24"/>
              </w:rPr>
              <w:t>关于公布规范性文件清理结果的决定</w:t>
            </w:r>
          </w:p>
        </w:tc>
        <w:tc>
          <w:tcPr>
            <w:tcW w:w="978" w:type="pct"/>
            <w:noWrap w:val="0"/>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14</w:t>
            </w:r>
            <w:r>
              <w:rPr>
                <w:rFonts w:hint="eastAsia" w:ascii="仿宋_GB2312" w:hAnsi="仿宋_GB2312" w:eastAsia="仿宋_GB2312" w:cs="仿宋_GB2312"/>
                <w:color w:val="000000"/>
                <w:sz w:val="24"/>
              </w:rPr>
              <w:t>号</w:t>
            </w:r>
          </w:p>
        </w:tc>
        <w:tc>
          <w:tcPr>
            <w:tcW w:w="604" w:type="pct"/>
            <w:noWrap w:val="0"/>
            <w:vAlign w:val="center"/>
          </w:tcPr>
          <w:p>
            <w:pPr>
              <w:widowControl/>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区司法局</w:t>
            </w:r>
          </w:p>
        </w:tc>
      </w:tr>
    </w:tbl>
    <w:p>
      <w:pPr>
        <w:spacing w:before="156" w:beforeLines="50" w:line="480" w:lineRule="exact"/>
        <w:ind w:left="840" w:hanging="840" w:hangingChars="300"/>
        <w:rPr>
          <w:rFonts w:ascii="仿宋_GB2312" w:hAnsi="仿宋_GB2312" w:eastAsia="仿宋_GB2312" w:cs="仿宋_GB2312"/>
          <w:color w:val="000000"/>
          <w:sz w:val="28"/>
          <w:szCs w:val="36"/>
        </w:rPr>
        <w:sectPr>
          <w:pgSz w:w="16838" w:h="11906" w:orient="landscape"/>
          <w:pgMar w:top="1418" w:right="1440" w:bottom="1418" w:left="1440" w:header="851" w:footer="1247" w:gutter="0"/>
          <w:cols w:space="720" w:num="1"/>
          <w:docGrid w:type="lines" w:linePitch="312" w:charSpace="0"/>
        </w:sectPr>
      </w:pPr>
      <w:r>
        <w:rPr>
          <w:rFonts w:hint="eastAsia" w:ascii="仿宋_GB2312" w:hAnsi="仿宋_GB2312" w:eastAsia="仿宋_GB2312" w:cs="仿宋_GB2312"/>
          <w:color w:val="000000"/>
          <w:sz w:val="28"/>
          <w:szCs w:val="36"/>
        </w:rPr>
        <w:t>说明：应当宣布失效的规范性文件是：</w:t>
      </w:r>
      <w:r>
        <w:rPr>
          <w:rFonts w:ascii="仿宋_GB2312" w:hAnsi="仿宋_GB2312" w:eastAsia="仿宋_GB2312" w:cs="仿宋_GB2312"/>
          <w:color w:val="000000"/>
          <w:sz w:val="28"/>
          <w:szCs w:val="36"/>
        </w:rPr>
        <w:t>1.</w:t>
      </w:r>
      <w:r>
        <w:rPr>
          <w:rFonts w:hint="eastAsia" w:ascii="仿宋_GB2312" w:hAnsi="仿宋_GB2312" w:eastAsia="仿宋_GB2312" w:cs="仿宋_GB2312"/>
          <w:color w:val="000000"/>
          <w:sz w:val="28"/>
          <w:szCs w:val="36"/>
        </w:rPr>
        <w:t>本次清理期间有效期届满不需要继续执行的；</w:t>
      </w:r>
      <w:r>
        <w:rPr>
          <w:rFonts w:ascii="仿宋_GB2312" w:hAnsi="仿宋_GB2312" w:eastAsia="仿宋_GB2312" w:cs="仿宋_GB2312"/>
          <w:color w:val="000000"/>
          <w:sz w:val="28"/>
          <w:szCs w:val="36"/>
        </w:rPr>
        <w:t>2.</w:t>
      </w:r>
      <w:r>
        <w:rPr>
          <w:rFonts w:hint="eastAsia" w:ascii="仿宋_GB2312" w:hAnsi="仿宋_GB2312" w:eastAsia="仿宋_GB2312" w:cs="仿宋_GB2312"/>
          <w:color w:val="000000"/>
          <w:sz w:val="28"/>
          <w:szCs w:val="36"/>
        </w:rPr>
        <w:t>有效期未满但所规定的事项已经完成实际不再执行的。</w:t>
      </w:r>
    </w:p>
    <w:p>
      <w:pPr>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p>
    <w:p>
      <w:pPr>
        <w:jc w:val="center"/>
        <w:rPr>
          <w:rFonts w:eastAsia="方正小标宋简体"/>
          <w:color w:val="000000"/>
          <w:kern w:val="0"/>
          <w:sz w:val="44"/>
          <w:szCs w:val="48"/>
        </w:rPr>
      </w:pPr>
      <w:r>
        <w:rPr>
          <w:rFonts w:hint="eastAsia" w:eastAsia="方正小标宋简体"/>
          <w:bCs/>
          <w:color w:val="000000"/>
          <w:kern w:val="0"/>
          <w:sz w:val="44"/>
          <w:szCs w:val="48"/>
        </w:rPr>
        <w:t>区政府及其办公室修改的规范性文件目录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9"/>
        <w:gridCol w:w="960"/>
        <w:gridCol w:w="3968"/>
        <w:gridCol w:w="215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blHeader/>
        </w:trPr>
        <w:tc>
          <w:tcPr>
            <w:tcW w:w="208"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序号</w:t>
            </w:r>
          </w:p>
        </w:tc>
        <w:tc>
          <w:tcPr>
            <w:tcW w:w="526" w:type="pct"/>
            <w:noWrap w:val="0"/>
            <w:vAlign w:val="center"/>
          </w:tcPr>
          <w:p>
            <w:pPr>
              <w:jc w:val="center"/>
              <w:rPr>
                <w:rFonts w:ascii="黑体" w:hAnsi="黑体" w:eastAsia="黑体" w:cs="仿宋"/>
                <w:bCs/>
                <w:color w:val="000000"/>
                <w:kern w:val="0"/>
                <w:sz w:val="24"/>
              </w:rPr>
            </w:pPr>
            <w:r>
              <w:rPr>
                <w:rFonts w:hint="eastAsia" w:ascii="黑体" w:hAnsi="黑体" w:eastAsia="黑体" w:cs="仿宋"/>
                <w:bCs/>
                <w:color w:val="000000"/>
                <w:kern w:val="0"/>
                <w:sz w:val="24"/>
              </w:rPr>
              <w:t>制定机关</w:t>
            </w:r>
          </w:p>
        </w:tc>
        <w:tc>
          <w:tcPr>
            <w:tcW w:w="2175"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文件标题</w:t>
            </w:r>
          </w:p>
        </w:tc>
        <w:tc>
          <w:tcPr>
            <w:tcW w:w="1181"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文号</w:t>
            </w:r>
          </w:p>
        </w:tc>
        <w:tc>
          <w:tcPr>
            <w:tcW w:w="910" w:type="pct"/>
            <w:noWrap w:val="0"/>
            <w:vAlign w:val="center"/>
          </w:tcPr>
          <w:p>
            <w:pPr>
              <w:jc w:val="center"/>
              <w:rPr>
                <w:rFonts w:ascii="黑体" w:hAnsi="黑体" w:eastAsia="黑体" w:cs="仿宋"/>
                <w:bCs/>
                <w:color w:val="000000"/>
                <w:sz w:val="24"/>
              </w:rPr>
            </w:pPr>
            <w:r>
              <w:rPr>
                <w:rFonts w:hint="eastAsia" w:ascii="黑体" w:hAnsi="黑体" w:eastAsia="黑体" w:cs="仿宋"/>
                <w:bCs/>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52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175" w:type="pct"/>
            <w:noWrap w:val="0"/>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岳阳市云溪区人民政府关于规范云溪区长江水域垂钓管理的通告</w:t>
            </w:r>
          </w:p>
        </w:tc>
        <w:tc>
          <w:tcPr>
            <w:tcW w:w="1181"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号</w:t>
            </w:r>
          </w:p>
        </w:tc>
        <w:tc>
          <w:tcPr>
            <w:tcW w:w="910"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tc>
        <w:tc>
          <w:tcPr>
            <w:tcW w:w="52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w:t>
            </w:r>
          </w:p>
        </w:tc>
        <w:tc>
          <w:tcPr>
            <w:tcW w:w="2175" w:type="pct"/>
            <w:noWrap w:val="0"/>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岳阳市云溪区人民政府关于划定芭蕉湖等六湖三河管理范围的通告</w:t>
            </w:r>
          </w:p>
        </w:tc>
        <w:tc>
          <w:tcPr>
            <w:tcW w:w="1181"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岳云政通〔</w:t>
            </w: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号</w:t>
            </w:r>
          </w:p>
        </w:tc>
        <w:tc>
          <w:tcPr>
            <w:tcW w:w="910"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tc>
        <w:tc>
          <w:tcPr>
            <w:tcW w:w="52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175" w:type="pct"/>
            <w:noWrap w:val="0"/>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关于印发《岳阳市云溪区全民科学素质行动规划纲要实施方案（</w:t>
            </w:r>
            <w:r>
              <w:rPr>
                <w:rFonts w:ascii="仿宋_GB2312" w:hAnsi="仿宋_GB2312" w:eastAsia="仿宋_GB2312" w:cs="仿宋_GB2312"/>
                <w:color w:val="000000"/>
                <w:sz w:val="24"/>
              </w:rPr>
              <w:t>2022—2025</w:t>
            </w:r>
            <w:r>
              <w:rPr>
                <w:rFonts w:hint="eastAsia" w:ascii="仿宋_GB2312" w:hAnsi="仿宋_GB2312" w:eastAsia="仿宋_GB2312" w:cs="仿宋_GB2312"/>
                <w:color w:val="000000"/>
                <w:sz w:val="24"/>
              </w:rPr>
              <w:t>）》的通知</w:t>
            </w:r>
          </w:p>
        </w:tc>
        <w:tc>
          <w:tcPr>
            <w:tcW w:w="1181"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2022</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18</w:t>
            </w:r>
            <w:r>
              <w:rPr>
                <w:rFonts w:hint="eastAsia" w:ascii="仿宋_GB2312" w:hAnsi="仿宋_GB2312" w:eastAsia="仿宋_GB2312" w:cs="仿宋_GB2312"/>
                <w:color w:val="000000"/>
                <w:sz w:val="24"/>
              </w:rPr>
              <w:t>号</w:t>
            </w:r>
          </w:p>
        </w:tc>
        <w:tc>
          <w:tcPr>
            <w:tcW w:w="910"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208" w:type="pct"/>
            <w:noWrap w:val="0"/>
            <w:vAlign w:val="center"/>
          </w:tcPr>
          <w:p>
            <w:pPr>
              <w:spacing w:line="36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p>
        </w:tc>
        <w:tc>
          <w:tcPr>
            <w:tcW w:w="526"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区政府办</w:t>
            </w:r>
          </w:p>
        </w:tc>
        <w:tc>
          <w:tcPr>
            <w:tcW w:w="2175" w:type="pct"/>
            <w:noWrap w:val="0"/>
            <w:vAlign w:val="center"/>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关于调整赋予湖南岳阳绿色化工高新技术产业开发区一批区级管理权限的通知</w:t>
            </w:r>
          </w:p>
        </w:tc>
        <w:tc>
          <w:tcPr>
            <w:tcW w:w="1181"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岳云政办发〔</w:t>
            </w:r>
            <w:r>
              <w:rPr>
                <w:rFonts w:ascii="仿宋_GB2312" w:hAnsi="仿宋_GB2312" w:eastAsia="仿宋_GB2312" w:cs="仿宋_GB2312"/>
                <w:color w:val="000000"/>
                <w:sz w:val="24"/>
              </w:rPr>
              <w:t>2024</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号</w:t>
            </w:r>
          </w:p>
        </w:tc>
        <w:tc>
          <w:tcPr>
            <w:tcW w:w="910" w:type="pct"/>
            <w:noWrap w:val="0"/>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绿色化工高新区管委会</w:t>
            </w:r>
          </w:p>
        </w:tc>
      </w:tr>
    </w:tbl>
    <w:p>
      <w:pPr>
        <w:spacing w:before="156" w:beforeLines="50"/>
        <w:rPr>
          <w:rFonts w:ascii="仿宋_GB2312" w:eastAsia="仿宋_GB2312"/>
          <w:color w:val="000000"/>
          <w:sz w:val="32"/>
          <w:szCs w:val="32"/>
        </w:rPr>
        <w:sectPr>
          <w:pgSz w:w="11906" w:h="16838"/>
          <w:pgMar w:top="1418" w:right="1418" w:bottom="1418" w:left="1418" w:header="851" w:footer="992" w:gutter="0"/>
          <w:cols w:space="720" w:num="1"/>
          <w:titlePg/>
          <w:docGrid w:type="lines" w:linePitch="312" w:charSpace="0"/>
        </w:sectPr>
      </w:pPr>
      <w:r>
        <w:rPr>
          <w:rFonts w:hint="eastAsia" w:ascii="仿宋_GB2312" w:hAnsi="仿宋_GB2312" w:eastAsia="仿宋_GB2312" w:cs="仿宋_GB2312"/>
          <w:color w:val="000000"/>
          <w:sz w:val="28"/>
          <w:szCs w:val="36"/>
        </w:rPr>
        <w:t>说明：需要修改的规范性文件，应重新制定新文件并同时废止原文件。</w:t>
      </w:r>
    </w:p>
    <w:p>
      <w:pPr>
        <w:pStyle w:val="12"/>
        <w:spacing w:line="240" w:lineRule="exact"/>
        <w:jc w:val="both"/>
        <w:rPr>
          <w:rFonts w:hint="eastAsia" w:ascii="仿宋_GB2312" w:eastAsia="仿宋_GB2312"/>
          <w:color w:val="000000"/>
          <w:sz w:val="32"/>
          <w:szCs w:val="32"/>
        </w:rPr>
      </w:pPr>
    </w:p>
    <w:p>
      <w:pPr>
        <w:pStyle w:val="12"/>
        <w:spacing w:line="240" w:lineRule="exact"/>
        <w:ind w:firstLine="1280" w:firstLineChars="400"/>
        <w:jc w:val="both"/>
        <w:rPr>
          <w:rFonts w:hint="eastAsia" w:ascii="仿宋_GB2312" w:eastAsia="仿宋_GB2312"/>
          <w:color w:val="000000"/>
          <w:sz w:val="32"/>
          <w:szCs w:val="32"/>
        </w:rPr>
      </w:pPr>
    </w:p>
    <w:tbl>
      <w:tblPr>
        <w:tblStyle w:val="6"/>
        <w:tblpPr w:leftFromText="180" w:rightFromText="180" w:vertAnchor="text" w:horzAnchor="page" w:tblpX="1462" w:tblpY="12644"/>
        <w:tblOverlap w:val="never"/>
        <w:tblW w:w="907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7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9072" w:type="dxa"/>
            <w:noWrap w:val="0"/>
            <w:vAlign w:val="top"/>
          </w:tcPr>
          <w:p>
            <w:pPr>
              <w:pStyle w:val="12"/>
              <w:spacing w:line="240" w:lineRule="auto"/>
              <w:ind w:firstLine="280" w:firstLineChars="100"/>
              <w:jc w:val="both"/>
              <w:rPr>
                <w:rFonts w:hint="eastAsia" w:ascii="仿宋_GB2312" w:eastAsia="仿宋_GB2312"/>
                <w:color w:val="000000"/>
                <w:szCs w:val="28"/>
              </w:rPr>
            </w:pPr>
            <w:r>
              <w:rPr>
                <w:rFonts w:hint="eastAsia" w:ascii="仿宋_GB2312" w:eastAsia="仿宋_GB2312"/>
                <w:color w:val="000000"/>
                <w:szCs w:val="28"/>
              </w:rPr>
              <w:t>岳阳市云溪区人民政府办公室               2025年6月20日印发</w:t>
            </w:r>
          </w:p>
        </w:tc>
      </w:tr>
    </w:tbl>
    <w:p/>
    <w:p>
      <w:pPr>
        <w:spacing w:line="580" w:lineRule="exact"/>
        <w:jc w:val="left"/>
        <w:rPr>
          <w:rFonts w:hint="eastAsia" w:ascii="仿宋_GB2312" w:eastAsia="仿宋_GB2312"/>
          <w:sz w:val="32"/>
          <w:szCs w:val="32"/>
        </w:rPr>
        <w:sectPr>
          <w:pgSz w:w="11906" w:h="16838"/>
          <w:pgMar w:top="1531" w:right="1531" w:bottom="1531" w:left="1531" w:header="851" w:footer="1247" w:gutter="0"/>
          <w:cols w:space="720" w:num="1"/>
          <w:titlePg/>
          <w:docGrid w:type="lines" w:linePitch="312" w:charSpace="0"/>
        </w:sectPr>
      </w:pPr>
    </w:p>
    <w:p>
      <w:pPr>
        <w:spacing w:line="580" w:lineRule="exact"/>
        <w:jc w:val="right"/>
        <w:rPr>
          <w:rFonts w:hint="eastAsia" w:ascii="仿宋_GB2312" w:eastAsia="仿宋_GB2312"/>
          <w:sz w:val="32"/>
          <w:szCs w:val="32"/>
        </w:rPr>
      </w:pPr>
    </w:p>
    <w:p>
      <w:pPr>
        <w:spacing w:line="580" w:lineRule="exact"/>
        <w:jc w:val="right"/>
        <w:rPr>
          <w:rFonts w:hint="eastAsia" w:ascii="仿宋_GB2312" w:eastAsia="仿宋_GB2312"/>
          <w:sz w:val="32"/>
          <w:szCs w:val="32"/>
        </w:rPr>
      </w:pPr>
    </w:p>
    <w:p>
      <w:pPr>
        <w:spacing w:line="580" w:lineRule="exact"/>
        <w:jc w:val="right"/>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岳云政办函〔2025〕5号</w:t>
      </w:r>
    </w:p>
    <w:p>
      <w:pPr>
        <w:rPr>
          <w:rFonts w:hint="eastAsia" w:ascii="仿宋_GB2312" w:eastAsia="仿宋_GB2312"/>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岳阳市云溪区人民政府办公室</w:t>
      </w:r>
    </w:p>
    <w:p>
      <w:pPr>
        <w:spacing w:line="660" w:lineRule="exact"/>
        <w:jc w:val="center"/>
        <w:rPr>
          <w:rFonts w:hint="eastAsia" w:ascii="方正小标宋简体" w:eastAsia="方正小标宋简体"/>
          <w:sz w:val="44"/>
          <w:szCs w:val="44"/>
        </w:rPr>
      </w:pPr>
      <w:r>
        <w:rPr>
          <w:rFonts w:hint="eastAsia" w:ascii="方正小标宋简体" w:eastAsia="方正小标宋简体"/>
          <w:spacing w:val="-12"/>
          <w:sz w:val="44"/>
          <w:szCs w:val="44"/>
        </w:rPr>
        <w:t>关于建立岳阳市云溪区国家综合性消防救援队伍</w:t>
      </w:r>
      <w:r>
        <w:rPr>
          <w:rFonts w:hint="eastAsia" w:ascii="方正小标宋简体" w:eastAsia="方正小标宋简体"/>
          <w:sz w:val="44"/>
          <w:szCs w:val="44"/>
        </w:rPr>
        <w:t>退出消防员安置工作协作配合机制的通知</w:t>
      </w:r>
    </w:p>
    <w:p>
      <w:pPr>
        <w:rPr>
          <w:rFonts w:hint="eastAsia" w:ascii="仿宋_GB2312" w:eastAsia="仿宋_GB2312"/>
          <w:sz w:val="32"/>
          <w:szCs w:val="32"/>
        </w:rPr>
      </w:pPr>
    </w:p>
    <w:p>
      <w:pPr>
        <w:spacing w:line="560" w:lineRule="exact"/>
        <w:rPr>
          <w:rFonts w:hint="eastAsia" w:ascii="仿宋_GB2312" w:eastAsia="仿宋_GB2312"/>
          <w:spacing w:val="6"/>
          <w:sz w:val="32"/>
          <w:szCs w:val="32"/>
        </w:rPr>
      </w:pPr>
      <w:r>
        <w:rPr>
          <w:rFonts w:hint="eastAsia" w:ascii="仿宋_GB2312" w:eastAsia="仿宋_GB2312"/>
          <w:spacing w:val="6"/>
          <w:sz w:val="32"/>
          <w:szCs w:val="32"/>
        </w:rPr>
        <w:t xml:space="preserve">各镇人民政府、街道办事处，绿色化工高新区管委会，区直及驻区各有关单位：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党中央、国务院关于国家综合性消防救援队伍改革的决策部署，根据国务院办公厅《关于印发〈国家综合性消防救援队伍退出消防员安置办法（试行）〉的通知》（国办发〔2024〕45号）、省人民政府办公厅《关于建立湖南省国家综合性消防救援队伍退出消防员安置工作协作配合机制的通知》（湘政办函〔2024〕78号）、市人民政府办公室《关于建立岳阳市国家综合性消防救援队伍退出消防员安置工作协作配合机制的通知》（岳政办函〔2025〕16号）精神，区人民政府决定建立岳阳市云溪区国家综合性消防救援队伍退出消防员安置工作协作配合机制（以下简称协作机制）。现将有关事项通知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一、主要职责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统筹协调我区国家综合性消防救援队伍退出消防员安置工作，分析研判工作形势，研究解决工作中遇到的重要问题，建立健全长效工作机制</w:t>
      </w:r>
      <w:r>
        <w:rPr>
          <w:rFonts w:hint="eastAsia" w:ascii="仿宋_GB2312" w:eastAsia="仿宋_GB2312"/>
          <w:spacing w:val="-6"/>
          <w:sz w:val="32"/>
          <w:szCs w:val="32"/>
        </w:rPr>
        <w:t>，推动完善配套政策制度；指导推动区有关部门认真履行工作职责，落实各项措施，形成工作合力，共同做好退出消防员安置工作；遇到重大问</w:t>
      </w:r>
      <w:r>
        <w:rPr>
          <w:rFonts w:hint="eastAsia" w:ascii="仿宋_GB2312" w:eastAsia="仿宋_GB2312"/>
          <w:sz w:val="32"/>
          <w:szCs w:val="32"/>
        </w:rPr>
        <w:t>题按程序提请区人民政府研究。</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二、组成人员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总召集人：彭  伟    区委常委、常务副区长</w:t>
      </w:r>
      <w:r>
        <w:rPr>
          <w:rFonts w:hint="eastAsia" w:ascii="仿宋_GB2312" w:eastAsia="仿宋_GB2312"/>
          <w:sz w:val="32"/>
          <w:szCs w:val="32"/>
        </w:rPr>
        <w:tab/>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召 集 人：张育锋    区政府办副主任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副召集人：丁先波    区应急局局长</w:t>
      </w:r>
    </w:p>
    <w:p>
      <w:pPr>
        <w:spacing w:line="580" w:lineRule="exact"/>
        <w:ind w:firstLine="2240" w:firstLineChars="700"/>
        <w:rPr>
          <w:rFonts w:hint="eastAsia" w:ascii="仿宋_GB2312" w:eastAsia="仿宋_GB2312"/>
          <w:sz w:val="32"/>
          <w:szCs w:val="32"/>
        </w:rPr>
      </w:pPr>
      <w:r>
        <w:rPr>
          <w:rFonts w:hint="eastAsia" w:ascii="仿宋_GB2312" w:eastAsia="仿宋_GB2312"/>
          <w:sz w:val="32"/>
          <w:szCs w:val="32"/>
        </w:rPr>
        <w:t>苏  涛    区消防救援大队政治教导员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成</w:t>
      </w:r>
      <w:r>
        <w:rPr>
          <w:rFonts w:hint="eastAsia" w:ascii="仿宋_GB2312" w:eastAsia="仿宋_GB2312"/>
          <w:sz w:val="32"/>
          <w:szCs w:val="32"/>
        </w:rPr>
        <w:tab/>
      </w:r>
      <w:r>
        <w:rPr>
          <w:rFonts w:hint="eastAsia" w:ascii="仿宋_GB2312" w:eastAsia="仿宋_GB2312"/>
          <w:sz w:val="32"/>
          <w:szCs w:val="32"/>
        </w:rPr>
        <w:t xml:space="preserve">  员：邱明强    区委组织部副部长</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刘岳城    区委编办副主任</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黄泽平    公安分局副局长</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李  辉    区财政局副局长</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沈险峰    区人社局副局长</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李太平    区应急局党委委员</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彭生纲    区医保局副局长</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刘海涛    区公有资产服务中心主任</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王  立    区民政局社会救助服务中心主任</w:t>
      </w:r>
    </w:p>
    <w:p>
      <w:pPr>
        <w:spacing w:line="580" w:lineRule="exact"/>
        <w:ind w:firstLine="2208" w:firstLineChars="690"/>
        <w:rPr>
          <w:rFonts w:hint="eastAsia" w:ascii="仿宋_GB2312" w:eastAsia="仿宋_GB2312"/>
          <w:sz w:val="32"/>
          <w:szCs w:val="32"/>
        </w:rPr>
      </w:pPr>
      <w:r>
        <w:rPr>
          <w:rFonts w:hint="eastAsia" w:ascii="仿宋_GB2312" w:eastAsia="仿宋_GB2312"/>
          <w:sz w:val="32"/>
          <w:szCs w:val="32"/>
        </w:rPr>
        <w:t>李  扬    区临港消防救援站政治指导员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协作机制办公室设在区应急局，承担协作机制日常工作，李太平、李扬同志兼任办公室主任。协作机制成员因工作变动等原因需要调整的，由所在单位报协作机制办公室备案并自然递补。协作机制设联络员，由各成员单位明确人员担任。</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三、成员单位任务分工</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（一）区应急局。</w:t>
      </w:r>
      <w:r>
        <w:rPr>
          <w:rFonts w:hint="eastAsia" w:ascii="仿宋_GB2312" w:eastAsia="仿宋_GB2312"/>
          <w:sz w:val="32"/>
          <w:szCs w:val="32"/>
        </w:rPr>
        <w:t>牵头负责全区退出消防员安置工作；会同有关部门下达全区退出消防员安置计划，统筹组织实施退出消防员安置工作；负责协作机制日常工作；会同有关部门健全完善安置工作组织管理、工作运行、制度政策体系；组织对退出消防员安置工作调研指导，及时研究解决工作中的矛盾问题。</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（二）区委组织部。</w:t>
      </w:r>
      <w:r>
        <w:rPr>
          <w:rFonts w:hint="eastAsia" w:ascii="仿宋_GB2312" w:eastAsia="仿宋_GB2312"/>
          <w:sz w:val="32"/>
          <w:szCs w:val="32"/>
        </w:rPr>
        <w:t>指导支持符合规定条件的退出消防员择优招录到基层党政机关公务员岗位。</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（三）区委编办。</w:t>
      </w:r>
      <w:r>
        <w:rPr>
          <w:rFonts w:hint="eastAsia" w:ascii="仿宋_GB2312" w:eastAsia="仿宋_GB2312"/>
          <w:sz w:val="32"/>
          <w:szCs w:val="32"/>
        </w:rPr>
        <w:t>指导支持符合规定条件的退出消防员择优转岗到基层机关事业单位；配合做好岗位归集工作。</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（四）公安分局。</w:t>
      </w:r>
      <w:r>
        <w:rPr>
          <w:rFonts w:hint="eastAsia" w:ascii="仿宋_GB2312" w:eastAsia="仿宋_GB2312"/>
          <w:sz w:val="32"/>
          <w:szCs w:val="32"/>
        </w:rPr>
        <w:t>负责指导做好退出消防员安置时办理户籍迁移等相关工作。</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（五）区民政局。</w:t>
      </w:r>
      <w:r>
        <w:rPr>
          <w:rFonts w:hint="eastAsia" w:ascii="仿宋_GB2312" w:eastAsia="仿宋_GB2312"/>
          <w:sz w:val="32"/>
          <w:szCs w:val="32"/>
        </w:rPr>
        <w:t>负责做好退出消防员的养老服务和基本生活救助帮扶等工作。</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（六）区财政局。</w:t>
      </w:r>
      <w:r>
        <w:rPr>
          <w:rFonts w:hint="eastAsia" w:ascii="仿宋_GB2312" w:eastAsia="仿宋_GB2312"/>
          <w:sz w:val="32"/>
          <w:szCs w:val="32"/>
        </w:rPr>
        <w:t>按照</w:t>
      </w:r>
      <w:r>
        <w:rPr>
          <w:rFonts w:hint="eastAsia" w:ascii="仿宋_GB2312" w:eastAsia="仿宋_GB2312"/>
          <w:spacing w:val="-6"/>
          <w:sz w:val="32"/>
          <w:szCs w:val="32"/>
        </w:rPr>
        <w:t>中央、省、市级与地方财政事权和支出责任划分原则，保障退出消防员安置所需工作经费，并按照中央、省、市级政策结合我区实际自主</w:t>
      </w:r>
      <w:r>
        <w:rPr>
          <w:rFonts w:hint="eastAsia" w:ascii="仿宋_GB2312" w:eastAsia="仿宋_GB2312"/>
          <w:sz w:val="32"/>
          <w:szCs w:val="32"/>
        </w:rPr>
        <w:t>开展一次性安置经济补助工作。</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（七）区人社局。</w:t>
      </w:r>
      <w:r>
        <w:rPr>
          <w:rFonts w:hint="eastAsia" w:ascii="仿宋_GB2312" w:eastAsia="仿宋_GB2312"/>
          <w:sz w:val="32"/>
          <w:szCs w:val="32"/>
        </w:rPr>
        <w:t>指导做好转岗到事业单位的退出消防员工作岗位、职级等级确定、工资福利政策落实，事业单位聘用合同管理，以及放宽条件招聘符合岗位要求的退出消防员相关工作；按规定做好退出消防员人事档案、基本养老保险关系和职业年金等转移接续有关工作；指导企业做好接收退出消防员职业技能有关工作；指导公共就业服务机构为退出消防员提供基本公共就业创业服务，大力支持就业创业。</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（八）区医保局。</w:t>
      </w:r>
      <w:r>
        <w:rPr>
          <w:rFonts w:hint="eastAsia" w:ascii="仿宋_GB2312" w:eastAsia="仿宋_GB2312"/>
          <w:sz w:val="32"/>
          <w:szCs w:val="32"/>
        </w:rPr>
        <w:t>负责做好退出消防员基本医疗保险关系转移接续工作；配合业务主管部门开展伤残等退出消防员医疗保障有关政策研究工作。</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（九）区公有资产服务中心。</w:t>
      </w:r>
      <w:r>
        <w:rPr>
          <w:rFonts w:hint="eastAsia" w:ascii="仿宋_GB2312" w:eastAsia="仿宋_GB2312"/>
          <w:sz w:val="32"/>
          <w:szCs w:val="32"/>
        </w:rPr>
        <w:t>指导区属企业做好退出消防员转岗接收工作，配合业务主管部门指导相关企业按规定与接收的转岗退出消防员签订劳动合同，落实好工资福利和社会保险等待遇；配合做好岗位归集工作；协同下达全区退出消防员安置计划。</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（十）区消防救援大队。</w:t>
      </w:r>
      <w:r>
        <w:rPr>
          <w:rFonts w:hint="eastAsia" w:ascii="仿宋_GB2312" w:eastAsia="仿宋_GB2312"/>
          <w:sz w:val="32"/>
          <w:szCs w:val="32"/>
        </w:rPr>
        <w:t>制定全区退出消防员安置相关配套政策；具体组织实施退出消防员安置工作；申报全区退出消防员安置计划；做好退出消防员安置金发放、优抚优待等工作；做好退休消防员服务保障等工作；做好退出消防员信访权益维护保障等工作。</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4320" w:firstLineChars="1350"/>
        <w:rPr>
          <w:rFonts w:hint="eastAsia" w:ascii="仿宋_GB2312" w:eastAsia="仿宋_GB2312"/>
          <w:sz w:val="32"/>
          <w:szCs w:val="32"/>
        </w:rPr>
      </w:pPr>
      <w:r>
        <w:rPr>
          <w:rFonts w:hint="eastAsia" w:ascii="仿宋_GB2312" w:eastAsia="仿宋_GB2312"/>
          <w:sz w:val="32"/>
          <w:szCs w:val="32"/>
        </w:rPr>
        <w:t>岳阳市云溪区人民政府办公室</w:t>
      </w:r>
    </w:p>
    <w:p>
      <w:pPr>
        <w:wordWrap w:val="0"/>
        <w:ind w:firstLine="640" w:firstLineChars="200"/>
        <w:jc w:val="right"/>
        <w:rPr>
          <w:rFonts w:hint="eastAsia" w:ascii="仿宋_GB2312" w:eastAsia="仿宋_GB2312"/>
          <w:sz w:val="32"/>
          <w:szCs w:val="32"/>
        </w:rPr>
      </w:pPr>
      <w:r>
        <w:rPr>
          <w:rFonts w:hint="eastAsia" w:ascii="仿宋_GB2312" w:eastAsia="仿宋_GB2312"/>
          <w:sz w:val="32"/>
          <w:szCs w:val="32"/>
        </w:rPr>
        <w:t xml:space="preserve">2025年4月18日       </w:t>
      </w:r>
    </w:p>
    <w:p/>
    <w:p/>
    <w:p/>
    <w:p/>
    <w:p/>
    <w:p/>
    <w:p/>
    <w:p/>
    <w:p/>
    <w:p/>
    <w:p/>
    <w:p/>
    <w:p/>
    <w:p/>
    <w:p>
      <w:pPr>
        <w:spacing w:line="580" w:lineRule="exact"/>
        <w:ind w:firstLine="640" w:firstLineChars="200"/>
        <w:jc w:val="right"/>
        <w:rPr>
          <w:rFonts w:hint="eastAsia" w:ascii="仿宋_GB2312" w:eastAsia="仿宋_GB2312"/>
          <w:sz w:val="32"/>
          <w:szCs w:val="32"/>
        </w:rPr>
      </w:pPr>
    </w:p>
    <w:p>
      <w:pPr>
        <w:spacing w:line="580" w:lineRule="exact"/>
        <w:ind w:firstLine="640" w:firstLineChars="200"/>
        <w:jc w:val="right"/>
        <w:rPr>
          <w:rFonts w:hint="eastAsia" w:ascii="仿宋_GB2312" w:eastAsia="仿宋_GB2312"/>
          <w:sz w:val="32"/>
          <w:szCs w:val="32"/>
        </w:rPr>
      </w:pPr>
    </w:p>
    <w:p>
      <w:pPr>
        <w:spacing w:line="580" w:lineRule="exact"/>
        <w:ind w:firstLine="640" w:firstLineChars="200"/>
        <w:jc w:val="right"/>
        <w:rPr>
          <w:rFonts w:hint="eastAsia" w:ascii="仿宋_GB2312" w:eastAsia="仿宋_GB2312"/>
          <w:sz w:val="32"/>
          <w:szCs w:val="32"/>
        </w:rPr>
      </w:pPr>
    </w:p>
    <w:p>
      <w:pPr>
        <w:wordWrap/>
        <w:ind w:firstLine="640" w:firstLineChars="200"/>
        <w:jc w:val="center"/>
        <w:rPr>
          <w:rFonts w:hint="eastAsia" w:ascii="仿宋_GB2312" w:eastAsia="仿宋_GB2312"/>
          <w:sz w:val="32"/>
          <w:szCs w:val="32"/>
        </w:rPr>
      </w:pPr>
      <w:r>
        <w:rPr>
          <w:rFonts w:hint="eastAsia" w:ascii="仿宋_GB2312" w:eastAsia="仿宋_GB2312"/>
          <w:sz w:val="32"/>
          <w:szCs w:val="32"/>
        </w:rPr>
        <w:t>岳云政办函〔2025〕8号</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岳阳市云溪区人民政府办公室</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关于印发岳阳市云溪区人民政府领导成员</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工作分工的通知</w:t>
      </w:r>
    </w:p>
    <w:p>
      <w:pPr>
        <w:rPr>
          <w:rFonts w:hint="eastAsia" w:ascii="仿宋_GB2312" w:eastAsia="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各镇人民政府、街道办事处，绿色化工高新区管委会，区直及驻区各单</w:t>
      </w:r>
      <w:r>
        <w:rPr>
          <w:rFonts w:hint="eastAsia" w:ascii="仿宋_GB2312" w:hAnsi="仿宋_GB2312" w:eastAsia="仿宋_GB2312" w:cs="仿宋_GB2312"/>
          <w:sz w:val="32"/>
          <w:szCs w:val="32"/>
        </w:rPr>
        <w:t>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pacing w:val="4"/>
          <w:sz w:val="32"/>
          <w:szCs w:val="32"/>
        </w:rPr>
        <w:t>人民政府领导成员工作分工进行了调整，现将《岳</w:t>
      </w:r>
      <w:r>
        <w:rPr>
          <w:rFonts w:hint="eastAsia" w:ascii="仿宋_GB2312" w:hAnsi="仿宋_GB2312" w:eastAsia="仿宋_GB2312" w:cs="仿宋_GB2312"/>
          <w:sz w:val="32"/>
          <w:szCs w:val="32"/>
        </w:rPr>
        <w:t>阳市云溪区人民政府领导成员工作分工》予以印发。</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4320" w:firstLine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岳阳市云溪区人民政府办公室</w:t>
      </w:r>
    </w:p>
    <w:p>
      <w:pPr>
        <w:wordWrap w:val="0"/>
        <w:ind w:right="1260" w:rightChars="60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2025年5月6日</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岳阳市云溪区人民政府领导成员工作分工</w:t>
      </w:r>
    </w:p>
    <w:p>
      <w:pPr>
        <w:spacing w:line="40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根据《中华人民共和国地方各级人民代表大会和地方各级人民政府组织法》，区人民政府实行区长负责制。</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区长  蒋春艳</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领导区政府全面工作。负责财政、审计方面工作。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常务副区长  彭  伟</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区政府常务工作。负责产业园区、发展改革、统计、物价、税务、投融资管理、重点项目、安全生产、应急管理、消防、机关事务服务、人力资源和社会保障、国有资产管理、保密、信访、接待、兵役、人民武装、人防、援藏、人大代表建议政协委员提案办理、企业“三供一业”和社会职能移交方面工作。协助负责财政、审计方面工作。负责乙烯炼化一体化项目协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政府办公室、绿色化工高新区、区发展和改革局（区人民防空办公室）、区统计局、区人力资源和社会保障局、区应急管理局、区消防救援大队、税务局、区信访局、区重点项目服务中心、区机关事务服务中心、区城发建设投资集团有限责任公司（区城市建设投资服务中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协助分管区财政局、区审计局。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联系区人大常委会、区政协、区委统战部（含区工商联、区侨联、区民宗局）、区人武部、区关工委工作。</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副区长  向  彪</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负责农业、农村、水利、供销、乡村振兴、气象和铁山饮水工程协调工作。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分管区农业农村局（乡村振兴局）、区水利局、区供销合作联社。</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副区长  余望新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负责教育体育、卫生健康、医疗保障、民政、厂港地协作协调，协助企业“三供一业”和社会职能移交工作。负责铁水集运煤炭储备项目建设协调。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分管区教育体育局、区卫生健康局、区医疗保障局、区民政局、区厂港协作协调事务中心。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联系区总工会、团区委、区妇联、区残联、区计生协会、区红十字会、区教师奖励基金会工作。</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副区长  杨建勤</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负责工业经济和信息化、招商引资、外向性经济、市场监督管理、外资外贸、粮食、科技、交通运输、公路管理、港口、物流、海事、电力、通信工作。负责乙烯炼化一体化项目配套道路建设协调。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分管区科技和工业信息化局、区商务粮食局、区市场监督管理局、区交通运输局、区公路建设</w:t>
      </w:r>
      <w:r>
        <w:rPr>
          <w:rFonts w:hint="eastAsia" w:ascii="仿宋_GB2312" w:eastAsia="仿宋_GB2312"/>
          <w:spacing w:val="-6"/>
          <w:sz w:val="32"/>
          <w:szCs w:val="32"/>
        </w:rPr>
        <w:t>和养护中心、区物流发展服务中心、供电分公司、邮政分公司、电信云溪分局</w:t>
      </w:r>
      <w:r>
        <w:rPr>
          <w:rFonts w:hint="eastAsia" w:ascii="仿宋_GB2312" w:eastAsia="仿宋_GB2312"/>
          <w:sz w:val="32"/>
          <w:szCs w:val="32"/>
        </w:rPr>
        <w:t>、移动云溪分公司、联通云溪分公司。</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联系区科协、区贸促会工作。</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副区长  廖新华</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负责自然资源、规划、林业、住房和城乡建设、城市管理、住房保障、住房公积金、禁违拆违治违工作。负责市城投创新创业产业基地建设协调。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分管区自然资源局（林业局）、区住房和城乡建设局、区城市管理局、市住房公积金管理中心云溪区管理部。</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副区长、公安分局局长  夏立海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领导公安分局全面工作。</w:t>
      </w:r>
    </w:p>
    <w:p>
      <w:pPr>
        <w:spacing w:line="580" w:lineRule="exact"/>
        <w:ind w:firstLine="640" w:firstLineChars="200"/>
        <w:rPr>
          <w:rFonts w:hint="eastAsia" w:ascii="仿宋_GB2312" w:eastAsia="仿宋_GB2312"/>
          <w:spacing w:val="-6"/>
          <w:sz w:val="32"/>
          <w:szCs w:val="32"/>
        </w:rPr>
      </w:pPr>
      <w:r>
        <w:rPr>
          <w:rFonts w:hint="eastAsia" w:ascii="仿宋_GB2312" w:eastAsia="仿宋_GB2312"/>
          <w:sz w:val="32"/>
          <w:szCs w:val="32"/>
        </w:rPr>
        <w:t>负责</w:t>
      </w:r>
      <w:r>
        <w:rPr>
          <w:rFonts w:hint="eastAsia" w:ascii="仿宋_GB2312" w:eastAsia="仿宋_GB2312"/>
          <w:spacing w:val="-6"/>
          <w:sz w:val="32"/>
          <w:szCs w:val="32"/>
        </w:rPr>
        <w:t>交警、禁毒、退役军人事务、长输危化管线隐患整治工作。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分管区退役军人事务局、交警云溪大队。</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联系区法院、区检察院工作。</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副区长  何  旭</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负责电子政务、行政审批服务、生态环境、文化、广播电视、旅游工作。负责城陵矶高速建设协调。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分管区数据局、区文化旅游广电局、市生态环境局云溪分局。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联系区文联。</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副区长（挂职）  段晓丽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负责司法、政府法制、金融、保险工作，协助负责生态环境工作。</w:t>
      </w:r>
    </w:p>
    <w:p>
      <w:pPr>
        <w:spacing w:line="580" w:lineRule="exact"/>
        <w:ind w:firstLine="640" w:firstLineChars="200"/>
        <w:rPr>
          <w:rFonts w:hint="eastAsia" w:ascii="黑体" w:hAnsi="黑体" w:eastAsia="仿宋_GB2312"/>
          <w:sz w:val="32"/>
          <w:szCs w:val="32"/>
        </w:rPr>
      </w:pPr>
      <w:r>
        <w:rPr>
          <w:rFonts w:hint="eastAsia" w:ascii="仿宋_GB2312" w:eastAsia="仿宋_GB2312"/>
          <w:sz w:val="32"/>
          <w:szCs w:val="32"/>
        </w:rPr>
        <w:t>分管区司法局、区金融事务中心、驻区各商业银行和商业保险机构。</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区政府办公室主任  刘云飞</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负责处理区政府日常工作，领导区政府办公室全面工作。</w:t>
      </w:r>
    </w:p>
    <w:p/>
    <w:p/>
    <w:p/>
    <w:p/>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rPr>
        <w:t>岳云政办函〔2025〕9号</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岳阳市云溪区人民政府办公室</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关于公布2025年度云溪区人民政府重大行政</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决策事项目录的通知</w:t>
      </w:r>
    </w:p>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pacing w:val="6"/>
          <w:sz w:val="32"/>
          <w:szCs w:val="32"/>
        </w:rPr>
        <w:t>各镇人民政府、街道办事处，绿色化工高新区管委会，区直及</w:t>
      </w:r>
      <w:r>
        <w:rPr>
          <w:rFonts w:hint="eastAsia" w:ascii="仿宋_GB2312" w:eastAsia="仿宋_GB2312"/>
          <w:sz w:val="32"/>
          <w:szCs w:val="32"/>
        </w:rPr>
        <w:t>驻区各单位：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深入推进依法行政，全面建设法治政府，严格执行《重大行政决策程序暂行条例》（国院令第713号）、《湖南省行政程序规定》（省政府令第222号）、《湖南省人民政府关于印发〈湖南省重大行政决策事项目录管理办法〉的通知》（湘政办发〔2022〕33号）等有关法规和文件精神，进一步规范我区重大行政决策程序，促进依法、科学、民主决策，提高决策质量和效率，经区人民政府研究同意，现将《2025年度云溪区人民政府重大行政决策事项目录》予以公布，并就有关事项通知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各承办单位要根据重大行政决策程序相关要求，及时起草决策草案并征求意见，认真落实公众参与、专家论证、风险评估、合法性审查、集体讨论决定等法定程序，进一步提高科学决策、依法决策、民主决策水平。未按规定履行相关程序的，不得提请区人民政府审议决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二、各承办单位要加强重大行政决策的档案管理，及时将决策过程和决策实施中的文件资料收集整理归档，实现决策程序全过程记录。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三、区人民政府重大行政决策事项目录实行动态管理，因工作需要新增或调整重大行政决策事项的，相关承办单位应按照相关规定程序及时提请区人民政府进行动态调整。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四、决策实施满一年，各承办单位应当按规定对决策执行情况进行评估，评估情况书面报告区人民政府。</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pacing w:val="-6"/>
          <w:sz w:val="32"/>
          <w:szCs w:val="32"/>
        </w:rPr>
      </w:pPr>
      <w:r>
        <w:rPr>
          <w:rFonts w:hint="eastAsia" w:ascii="仿宋_GB2312" w:eastAsia="仿宋_GB2312"/>
          <w:sz w:val="32"/>
          <w:szCs w:val="32"/>
        </w:rPr>
        <w:t>附件：</w:t>
      </w:r>
      <w:r>
        <w:rPr>
          <w:rFonts w:hint="eastAsia" w:ascii="仿宋_GB2312" w:eastAsia="仿宋_GB2312"/>
          <w:spacing w:val="-6"/>
          <w:sz w:val="32"/>
          <w:szCs w:val="32"/>
        </w:rPr>
        <w:t>2025年度云溪区人民政府重大行政决策事项目录清单</w:t>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600" w:lineRule="exact"/>
        <w:ind w:firstLine="640" w:firstLineChars="200"/>
        <w:jc w:val="center"/>
        <w:rPr>
          <w:rFonts w:hint="eastAsia" w:ascii="仿宋_GB2312" w:eastAsia="仿宋_GB2312"/>
          <w:sz w:val="32"/>
          <w:szCs w:val="32"/>
        </w:rPr>
      </w:pPr>
      <w:r>
        <w:rPr>
          <w:rFonts w:hint="eastAsia" w:ascii="仿宋_GB2312" w:eastAsia="仿宋_GB2312"/>
          <w:sz w:val="32"/>
          <w:szCs w:val="32"/>
        </w:rPr>
        <w:t xml:space="preserve">                   岳阳市云溪区人民政府办公室</w:t>
      </w:r>
    </w:p>
    <w:p>
      <w:pPr>
        <w:spacing w:line="600" w:lineRule="exact"/>
        <w:ind w:right="1260" w:rightChars="600" w:firstLine="640" w:firstLineChars="200"/>
        <w:jc w:val="right"/>
        <w:rPr>
          <w:rFonts w:hint="eastAsia" w:ascii="仿宋_GB2312" w:eastAsia="仿宋_GB2312"/>
          <w:sz w:val="32"/>
          <w:szCs w:val="32"/>
        </w:rPr>
      </w:pPr>
      <w:r>
        <w:rPr>
          <w:rFonts w:hint="eastAsia" w:ascii="仿宋_GB2312" w:eastAsia="仿宋_GB2312"/>
          <w:sz w:val="32"/>
          <w:szCs w:val="32"/>
        </w:rPr>
        <w:t>2025年4月22日</w:t>
      </w:r>
    </w:p>
    <w:p>
      <w:pPr>
        <w:spacing w:line="600" w:lineRule="exact"/>
        <w:ind w:firstLine="640" w:firstLineChars="200"/>
        <w:rPr>
          <w:rFonts w:ascii="仿宋_GB2312" w:eastAsia="仿宋_GB2312"/>
          <w:sz w:val="32"/>
          <w:szCs w:val="32"/>
        </w:rPr>
        <w:sectPr>
          <w:pgSz w:w="11906" w:h="16838"/>
          <w:pgMar w:top="1531" w:right="1531" w:bottom="1531" w:left="1531" w:header="851" w:footer="1247" w:gutter="0"/>
          <w:cols w:space="720" w:num="1"/>
          <w:titlePg/>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w:t>
      </w:r>
    </w:p>
    <w:p>
      <w:pPr>
        <w:spacing w:line="300" w:lineRule="exact"/>
        <w:rPr>
          <w:rFonts w:hint="eastAsia" w:ascii="黑体" w:hAnsi="黑体" w:eastAsia="黑体"/>
          <w:sz w:val="32"/>
          <w:szCs w:val="32"/>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2025年度云溪区人民政府重大行政决策事项目录清单</w:t>
      </w:r>
    </w:p>
    <w:p>
      <w:pPr>
        <w:spacing w:line="300" w:lineRule="exact"/>
        <w:rPr>
          <w:rFonts w:hint="eastAsia" w:ascii="黑体" w:hAnsi="黑体" w:eastAsia="黑体"/>
          <w:sz w:val="32"/>
          <w:szCs w:val="32"/>
        </w:rPr>
      </w:pPr>
    </w:p>
    <w:tbl>
      <w:tblPr>
        <w:tblStyle w:val="5"/>
        <w:tblW w:w="14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4"/>
        <w:gridCol w:w="3877"/>
        <w:gridCol w:w="1751"/>
        <w:gridCol w:w="2143"/>
        <w:gridCol w:w="373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提请区人民政府</w:t>
            </w:r>
          </w:p>
          <w:p>
            <w:pPr>
              <w:spacing w:line="360" w:lineRule="exact"/>
              <w:jc w:val="center"/>
              <w:rPr>
                <w:rFonts w:ascii="黑体" w:hAnsi="黑体" w:eastAsia="黑体"/>
                <w:sz w:val="24"/>
              </w:rPr>
            </w:pPr>
            <w:r>
              <w:rPr>
                <w:rFonts w:hint="eastAsia" w:ascii="黑体" w:hAnsi="黑体" w:eastAsia="黑体"/>
                <w:sz w:val="24"/>
              </w:rPr>
              <w:t>决策的重大行政决策事项名称</w:t>
            </w:r>
          </w:p>
        </w:tc>
        <w:tc>
          <w:tcPr>
            <w:tcW w:w="62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决策承办单位</w:t>
            </w:r>
          </w:p>
        </w:tc>
        <w:tc>
          <w:tcPr>
            <w:tcW w:w="76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会同单位</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提请区人民政府决策的</w:t>
            </w:r>
          </w:p>
          <w:p>
            <w:pPr>
              <w:spacing w:line="360" w:lineRule="exact"/>
              <w:jc w:val="center"/>
              <w:rPr>
                <w:rFonts w:ascii="黑体" w:hAnsi="黑体" w:eastAsia="黑体"/>
                <w:sz w:val="24"/>
              </w:rPr>
            </w:pPr>
            <w:r>
              <w:rPr>
                <w:rFonts w:hint="eastAsia" w:ascii="黑体" w:hAnsi="黑体" w:eastAsia="黑体"/>
                <w:sz w:val="24"/>
              </w:rPr>
              <w:t>依据、标准</w:t>
            </w:r>
          </w:p>
        </w:tc>
        <w:tc>
          <w:tcPr>
            <w:tcW w:w="65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黑体" w:hAnsi="黑体" w:eastAsia="黑体"/>
                <w:sz w:val="24"/>
              </w:rPr>
            </w:pPr>
            <w:r>
              <w:rPr>
                <w:rFonts w:hint="eastAsia" w:ascii="黑体" w:hAnsi="黑体" w:eastAsia="黑体"/>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8" w:hRule="atLeast"/>
          <w:jc w:val="center"/>
        </w:trPr>
        <w:tc>
          <w:tcPr>
            <w:tcW w:w="241" w:type="pct"/>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4"/>
              </w:rPr>
            </w:pPr>
            <w:r>
              <w:rPr>
                <w:rFonts w:hint="eastAsia" w:ascii="仿宋_GB2312" w:eastAsia="仿宋_GB2312"/>
                <w:sz w:val="24"/>
              </w:rPr>
              <w:t>1</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widowControl/>
              <w:kinsoku w:val="0"/>
              <w:topLinePunct/>
              <w:autoSpaceDE w:val="0"/>
              <w:autoSpaceDN w:val="0"/>
              <w:adjustRightInd w:val="0"/>
              <w:snapToGrid w:val="0"/>
              <w:spacing w:line="560" w:lineRule="exact"/>
              <w:jc w:val="center"/>
              <w:textAlignment w:val="baseline"/>
              <w:rPr>
                <w:rFonts w:ascii="仿宋_GB2312" w:eastAsia="仿宋_GB2312"/>
                <w:sz w:val="24"/>
              </w:rPr>
            </w:pPr>
            <w:bookmarkStart w:id="2" w:name="OLE_LINK6"/>
            <w:r>
              <w:rPr>
                <w:rFonts w:hint="eastAsia" w:ascii="仿宋_GB2312" w:eastAsia="仿宋_GB2312"/>
                <w:color w:val="000000"/>
                <w:kern w:val="0"/>
                <w:sz w:val="24"/>
              </w:rPr>
              <w:t>岳阳市云溪区被征地农民社会保障工作实施办法</w:t>
            </w:r>
            <w:bookmarkEnd w:id="2"/>
          </w:p>
        </w:tc>
        <w:tc>
          <w:tcPr>
            <w:tcW w:w="625"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区人社局</w:t>
            </w:r>
          </w:p>
        </w:tc>
        <w:tc>
          <w:tcPr>
            <w:tcW w:w="765"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sz w:val="24"/>
              </w:rPr>
            </w:pPr>
            <w:bookmarkStart w:id="3" w:name="OLE_LINK2"/>
            <w:r>
              <w:rPr>
                <w:rFonts w:hint="eastAsia" w:ascii="仿宋_GB2312" w:eastAsia="仿宋_GB2312"/>
                <w:sz w:val="24"/>
              </w:rPr>
              <w:t>各镇（街道）</w:t>
            </w:r>
            <w:bookmarkEnd w:id="3"/>
            <w:r>
              <w:rPr>
                <w:rFonts w:hint="eastAsia" w:ascii="仿宋_GB2312" w:eastAsia="仿宋_GB2312"/>
                <w:sz w:val="24"/>
              </w:rPr>
              <w:t>，区自然资源局、区农业农村局、区财政局、公安分局、区审计局、区税务局</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24"/>
              </w:rPr>
            </w:pPr>
            <w:r>
              <w:rPr>
                <w:rFonts w:hint="eastAsia" w:ascii="仿宋_GB2312" w:eastAsia="仿宋_GB2312"/>
                <w:sz w:val="24"/>
              </w:rPr>
              <w:t>《关于进一步做好被征地农民社会保障工作的通知》</w:t>
            </w:r>
          </w:p>
          <w:p>
            <w:pPr>
              <w:spacing w:line="560" w:lineRule="exact"/>
              <w:jc w:val="center"/>
              <w:rPr>
                <w:rFonts w:ascii="仿宋_GB2312" w:eastAsia="仿宋_GB2312"/>
                <w:sz w:val="24"/>
              </w:rPr>
            </w:pPr>
            <w:r>
              <w:rPr>
                <w:rFonts w:hint="eastAsia" w:ascii="仿宋_GB2312" w:eastAsia="仿宋_GB2312"/>
                <w:sz w:val="24"/>
              </w:rPr>
              <w:t>（湘人社规〔2023〕1号）</w:t>
            </w:r>
          </w:p>
        </w:tc>
        <w:tc>
          <w:tcPr>
            <w:tcW w:w="651"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eastAsia="仿宋_GB2312"/>
                <w:sz w:val="24"/>
              </w:rPr>
            </w:pPr>
            <w:r>
              <w:rPr>
                <w:rFonts w:hint="eastAsia" w:ascii="仿宋_GB2312" w:eastAsia="仿宋_GB2312"/>
                <w:sz w:val="24"/>
              </w:rPr>
              <w:t>2025年9月前</w:t>
            </w:r>
          </w:p>
        </w:tc>
      </w:tr>
    </w:tbl>
    <w:p>
      <w:pPr>
        <w:sectPr>
          <w:pgSz w:w="16838" w:h="11906" w:orient="landscape"/>
          <w:pgMar w:top="1531" w:right="1531" w:bottom="1531" w:left="1531" w:header="851" w:footer="1247" w:gutter="0"/>
          <w:cols w:space="720" w:num="1"/>
          <w:titlePg/>
          <w:docGrid w:type="lines" w:linePitch="312" w:charSpace="0"/>
        </w:sectPr>
      </w:pPr>
    </w:p>
    <w:p>
      <w:pPr>
        <w:spacing w:line="560" w:lineRule="exact"/>
        <w:rPr>
          <w:rFonts w:hint="eastAsia" w:ascii="仿宋_GB2312" w:eastAsia="仿宋_GB2312" w:cs="仿宋_GB2312"/>
          <w:sz w:val="32"/>
          <w:szCs w:val="32"/>
        </w:rPr>
      </w:pPr>
    </w:p>
    <w:p>
      <w:pPr>
        <w:spacing w:line="560" w:lineRule="exact"/>
        <w:rPr>
          <w:rFonts w:hint="eastAsia" w:ascii="仿宋_GB2312" w:eastAsia="仿宋_GB2312" w:cs="仿宋_GB2312"/>
          <w:sz w:val="32"/>
          <w:szCs w:val="32"/>
        </w:rPr>
      </w:pPr>
    </w:p>
    <w:p>
      <w:pPr>
        <w:spacing w:line="560" w:lineRule="exact"/>
        <w:rPr>
          <w:rFonts w:hint="eastAsia" w:ascii="仿宋_GB2312" w:eastAsia="仿宋_GB2312" w:cs="仿宋_GB2312"/>
          <w:sz w:val="32"/>
          <w:szCs w:val="32"/>
        </w:rPr>
      </w:pPr>
    </w:p>
    <w:p>
      <w:pPr>
        <w:jc w:val="center"/>
        <w:rPr>
          <w:color w:val="000000"/>
          <w:sz w:val="44"/>
          <w:szCs w:val="44"/>
        </w:rPr>
      </w:pPr>
      <w:r>
        <w:rPr>
          <w:rFonts w:hint="eastAsia" w:ascii="仿宋_GB2312" w:eastAsia="仿宋_GB2312"/>
          <w:sz w:val="32"/>
          <w:szCs w:val="32"/>
        </w:rPr>
        <w:t>岳云政办函〔2025〕10号</w:t>
      </w:r>
    </w:p>
    <w:p>
      <w:pPr>
        <w:spacing w:line="600" w:lineRule="exact"/>
        <w:jc w:val="center"/>
        <w:rPr>
          <w:color w:val="000000"/>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岳阳市云溪区人民政府办公室</w:t>
      </w:r>
    </w:p>
    <w:p>
      <w:pPr>
        <w:spacing w:line="600" w:lineRule="exact"/>
        <w:jc w:val="center"/>
        <w:rPr>
          <w:rFonts w:hint="eastAsia" w:ascii="方正小标宋简体" w:eastAsia="方正小标宋简体"/>
          <w:spacing w:val="4"/>
          <w:sz w:val="44"/>
          <w:szCs w:val="44"/>
        </w:rPr>
      </w:pPr>
      <w:r>
        <w:rPr>
          <w:rFonts w:hint="eastAsia" w:ascii="方正小标宋简体" w:eastAsia="方正小标宋简体"/>
          <w:spacing w:val="4"/>
          <w:sz w:val="44"/>
          <w:szCs w:val="44"/>
        </w:rPr>
        <w:t>关于认真做好2025年省市区重点</w:t>
      </w:r>
    </w:p>
    <w:p>
      <w:pPr>
        <w:spacing w:line="600" w:lineRule="exact"/>
        <w:jc w:val="center"/>
        <w:rPr>
          <w:rFonts w:hint="eastAsia" w:ascii="方正小标宋简体" w:eastAsia="方正小标宋简体"/>
          <w:spacing w:val="4"/>
          <w:sz w:val="44"/>
          <w:szCs w:val="44"/>
        </w:rPr>
      </w:pPr>
      <w:r>
        <w:rPr>
          <w:rFonts w:hint="eastAsia" w:ascii="方正小标宋简体" w:eastAsia="方正小标宋简体"/>
          <w:spacing w:val="4"/>
          <w:sz w:val="44"/>
          <w:szCs w:val="44"/>
        </w:rPr>
        <w:t>民生实事工作的通知</w:t>
      </w:r>
    </w:p>
    <w:p>
      <w:pPr>
        <w:spacing w:line="600" w:lineRule="exact"/>
        <w:rPr>
          <w:rFonts w:hint="eastAsia" w:ascii="仿宋_GB2312" w:hAnsi="Times New Roman" w:eastAsia="仿宋_GB2312"/>
          <w:spacing w:val="4"/>
          <w:sz w:val="32"/>
          <w:szCs w:val="32"/>
        </w:rPr>
      </w:pPr>
    </w:p>
    <w:p>
      <w:pPr>
        <w:autoSpaceDE w:val="0"/>
        <w:spacing w:line="600" w:lineRule="exact"/>
        <w:rPr>
          <w:rFonts w:hint="eastAsia" w:ascii="仿宋_GB2312" w:hAnsi="Times New Roman" w:eastAsia="仿宋_GB2312"/>
          <w:sz w:val="32"/>
          <w:szCs w:val="32"/>
        </w:rPr>
      </w:pPr>
      <w:r>
        <w:rPr>
          <w:rFonts w:hint="eastAsia" w:ascii="仿宋_GB2312" w:hAnsi="Times New Roman" w:eastAsia="仿宋_GB2312"/>
          <w:spacing w:val="6"/>
          <w:sz w:val="32"/>
          <w:szCs w:val="32"/>
        </w:rPr>
        <w:t>各镇人民政府、街道办事处，绿色化工高新区管委会，区直及驻区</w:t>
      </w:r>
      <w:r>
        <w:rPr>
          <w:rFonts w:hint="eastAsia" w:ascii="仿宋_GB2312" w:hAnsi="Times New Roman" w:eastAsia="仿宋_GB2312"/>
          <w:sz w:val="32"/>
          <w:szCs w:val="32"/>
        </w:rPr>
        <w:t>各单位：</w:t>
      </w:r>
    </w:p>
    <w:p>
      <w:pPr>
        <w:autoSpaceDE w:val="0"/>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为深入贯彻落实以人民为中心的发展思想，全力推进民生补短提质工程，让现代化建设成果更多更公平惠及全区群众，根据《中共湖南省委办公厅 湖南省人民政府办公厅关于印发〈2025年全省重点民生实事项目实施方案〉的通知》（湘办发电〔2025〕13号）、《中共岳阳市委办公室 岳阳市人民政府办公室关于认真做好2025年省市重点民生实事工作的通知》（岳办函〔2025〕10号）及2025年区政府工作报告精神，确保全面完成2025年省市</w:t>
      </w:r>
      <w:r>
        <w:rPr>
          <w:rFonts w:hint="eastAsia" w:ascii="仿宋_GB2312" w:hAnsi="Times New Roman" w:eastAsia="仿宋_GB2312"/>
          <w:spacing w:val="6"/>
          <w:sz w:val="32"/>
          <w:szCs w:val="32"/>
        </w:rPr>
        <w:t>区重点民生实事任务，经区人民政府同意，现就有关事项通知如下。</w:t>
      </w:r>
    </w:p>
    <w:p>
      <w:pPr>
        <w:autoSpaceDE w:val="0"/>
        <w:spacing w:line="600" w:lineRule="exact"/>
        <w:ind w:firstLine="640" w:firstLineChars="200"/>
        <w:rPr>
          <w:rFonts w:hint="eastAsia" w:ascii="仿宋_GB2312" w:hAnsi="Times New Roman" w:eastAsia="仿宋_GB2312"/>
          <w:sz w:val="32"/>
          <w:szCs w:val="32"/>
        </w:rPr>
      </w:pPr>
      <w:r>
        <w:rPr>
          <w:rFonts w:hint="eastAsia" w:ascii="MS Gothic" w:hAnsi="MS Gothic" w:eastAsia="MS Gothic" w:cs="MS Gothic"/>
          <w:sz w:val="32"/>
          <w:szCs w:val="32"/>
        </w:rPr>
        <w:t>‌</w:t>
      </w:r>
      <w:r>
        <w:rPr>
          <w:rFonts w:hint="eastAsia" w:ascii="黑体" w:hAnsi="黑体" w:eastAsia="黑体"/>
          <w:sz w:val="32"/>
          <w:szCs w:val="32"/>
        </w:rPr>
        <w:t>一、提高站位，强化责任落实。</w:t>
      </w:r>
      <w:r>
        <w:rPr>
          <w:rFonts w:hint="eastAsia" w:ascii="仿宋_GB2312" w:hAnsi="Times New Roman" w:eastAsia="仿宋_GB2312"/>
          <w:sz w:val="32"/>
          <w:szCs w:val="32"/>
        </w:rPr>
        <w:t>办好重点民生实事是践行以人民为中心的发展思想的具体实践。各级各部门要切实扛牢政治责任，深化思想认识，把完成重点民生实事任务作为大力实施“七大攻坚”、打造湖南万亿现代石化产业核心基地和世界领先的绿色高端化工新材料产业基地的重要举措，持续聚焦、聚责、聚力把重点民生实事办好办实。各牵头部门要落实主体责任，按照“谁牵头、谁负责”的原则，明确目标任务、实施步骤和保障措施，确保各项目标任务按时保质完成。各责任单位要根据职能分工，各尽其责，通力协作，共同抓好工作落实。</w:t>
      </w:r>
    </w:p>
    <w:p>
      <w:pPr>
        <w:autoSpaceDE w:val="0"/>
        <w:spacing w:line="600" w:lineRule="exact"/>
        <w:ind w:firstLine="640" w:firstLineChars="200"/>
        <w:rPr>
          <w:rFonts w:hint="eastAsia" w:ascii="仿宋_GB2312" w:hAnsi="Times New Roman" w:eastAsia="仿宋_GB2312"/>
          <w:sz w:val="32"/>
          <w:szCs w:val="32"/>
        </w:rPr>
      </w:pPr>
      <w:r>
        <w:rPr>
          <w:rFonts w:hint="eastAsia" w:ascii="MS Gothic" w:hAnsi="MS Gothic" w:eastAsia="MS Gothic" w:cs="MS Gothic"/>
          <w:sz w:val="32"/>
          <w:szCs w:val="32"/>
        </w:rPr>
        <w:t>‌</w:t>
      </w:r>
      <w:r>
        <w:rPr>
          <w:rFonts w:hint="eastAsia" w:ascii="黑体" w:hAnsi="黑体" w:eastAsia="黑体"/>
          <w:sz w:val="32"/>
          <w:szCs w:val="32"/>
        </w:rPr>
        <w:t>二、完善机制，严格督导问效。</w:t>
      </w:r>
      <w:r>
        <w:rPr>
          <w:rFonts w:hint="eastAsia" w:ascii="仿宋_GB2312" w:hAnsi="Times New Roman" w:eastAsia="仿宋_GB2312"/>
          <w:sz w:val="32"/>
          <w:szCs w:val="32"/>
        </w:rPr>
        <w:t>各单位要将办好重点民生实事纳入年度重点工作计划，依托人社一体化业务管理系统实时监测项目进展，及时破解堵点难点，全力冲刺攻坚目标。坚持“月调度、季讲评”，区民生补短提质攻坚专班要加强对工作落实情况的统筹调度，区政府督查室要按照时间节点进行督查，重点对进度滞后项目实行挂牌督办。严格对照2025年省市区重点民生实事验收标准，牵头部门负责所涉及的项目初步验收，区政府督查室对重点民生实事项目完成情况进行核验，确保工程质量、资金使用和群众满意度全面达标，力争件件出实效、项项创亮点。</w:t>
      </w:r>
    </w:p>
    <w:p>
      <w:pPr>
        <w:autoSpaceDE w:val="0"/>
        <w:spacing w:line="600" w:lineRule="exact"/>
        <w:ind w:firstLine="640" w:firstLineChars="200"/>
        <w:rPr>
          <w:rFonts w:hint="eastAsia" w:ascii="仿宋_GB2312" w:hAnsi="Times New Roman" w:eastAsia="仿宋_GB2312"/>
          <w:sz w:val="32"/>
          <w:szCs w:val="32"/>
          <w:highlight w:val="yellow"/>
        </w:rPr>
      </w:pPr>
      <w:r>
        <w:rPr>
          <w:rFonts w:hint="eastAsia" w:ascii="黑体" w:hAnsi="黑体" w:eastAsia="黑体"/>
          <w:sz w:val="32"/>
          <w:szCs w:val="32"/>
        </w:rPr>
        <w:t>三、强化统筹，凝聚共建合力。</w:t>
      </w:r>
      <w:r>
        <w:rPr>
          <w:rFonts w:hint="eastAsia" w:ascii="仿宋_GB2312" w:hAnsi="Times New Roman" w:eastAsia="仿宋_GB2312"/>
          <w:sz w:val="32"/>
          <w:szCs w:val="32"/>
        </w:rPr>
        <w:t>要统筹区级财政投入，积极争取中央及省、市专项资金支持，同时引导社会资本参与养老、托育等民生领域建设。各责任单位要精准对接省、市政策，优化配套细则，加强协同联动，在项目立项审批、土地供应、环保监督等方面开辟“绿色通道”，推动项目早开工、早投用、早惠民。深入推介重点民生实事项目的工作动态和实施效果，适时组织开展人大代表、政协委员视察重点民生实事工作，多维度宣传民生实事成效，形成“政府推动、社会支持、群众点赞”的良好氛围。</w:t>
      </w:r>
    </w:p>
    <w:p>
      <w:pPr>
        <w:autoSpaceDE w:val="0"/>
        <w:spacing w:line="600" w:lineRule="exact"/>
        <w:ind w:firstLine="640" w:firstLineChars="200"/>
        <w:rPr>
          <w:rFonts w:hint="eastAsia" w:ascii="仿宋_GB2312" w:hAnsi="Times New Roman" w:eastAsia="仿宋_GB2312"/>
          <w:sz w:val="32"/>
          <w:szCs w:val="32"/>
        </w:rPr>
      </w:pPr>
    </w:p>
    <w:p>
      <w:pPr>
        <w:autoSpaceDE w:val="0"/>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附件：2025年省市区重点民生实事项目任务分解表</w:t>
      </w:r>
    </w:p>
    <w:p>
      <w:pPr>
        <w:autoSpaceDE w:val="0"/>
        <w:spacing w:line="600" w:lineRule="exact"/>
        <w:rPr>
          <w:rFonts w:hint="eastAsia" w:ascii="仿宋_GB2312" w:hAnsi="Times New Roman" w:eastAsia="仿宋_GB2312"/>
          <w:sz w:val="32"/>
          <w:szCs w:val="32"/>
        </w:rPr>
      </w:pPr>
    </w:p>
    <w:p>
      <w:pPr>
        <w:autoSpaceDE w:val="0"/>
        <w:spacing w:line="600" w:lineRule="exact"/>
        <w:rPr>
          <w:rFonts w:hint="eastAsia" w:ascii="仿宋_GB2312" w:hAnsi="Times New Roman" w:eastAsia="仿宋_GB2312"/>
          <w:sz w:val="32"/>
          <w:szCs w:val="32"/>
        </w:rPr>
      </w:pPr>
    </w:p>
    <w:p>
      <w:pPr>
        <w:autoSpaceDE w:val="0"/>
        <w:spacing w:line="600" w:lineRule="exact"/>
        <w:rPr>
          <w:rFonts w:hint="eastAsia" w:ascii="仿宋_GB2312" w:hAnsi="Times New Roman" w:eastAsia="仿宋_GB2312"/>
          <w:sz w:val="32"/>
          <w:szCs w:val="32"/>
        </w:rPr>
      </w:pPr>
    </w:p>
    <w:p>
      <w:pPr>
        <w:autoSpaceDE w:val="0"/>
        <w:spacing w:line="600" w:lineRule="exact"/>
        <w:ind w:firstLine="3340" w:firstLineChars="1044"/>
        <w:jc w:val="center"/>
        <w:rPr>
          <w:rFonts w:hint="eastAsia" w:ascii="仿宋_GB2312" w:hAnsi="Times New Roman" w:eastAsia="仿宋_GB2312"/>
          <w:sz w:val="32"/>
          <w:szCs w:val="32"/>
        </w:rPr>
      </w:pPr>
      <w:r>
        <w:rPr>
          <w:rFonts w:hint="eastAsia" w:ascii="仿宋_GB2312" w:hAnsi="Times New Roman" w:eastAsia="仿宋_GB2312"/>
          <w:sz w:val="32"/>
          <w:szCs w:val="32"/>
        </w:rPr>
        <w:t>岳阳市云溪区人民政府办公室</w:t>
      </w:r>
    </w:p>
    <w:p>
      <w:pPr>
        <w:autoSpaceDE w:val="0"/>
        <w:spacing w:line="600" w:lineRule="exact"/>
        <w:ind w:firstLine="3340" w:firstLineChars="1044"/>
        <w:jc w:val="center"/>
        <w:rPr>
          <w:rFonts w:hint="eastAsia" w:ascii="仿宋_GB2312" w:hAnsi="Times New Roman" w:eastAsia="仿宋_GB2312"/>
          <w:sz w:val="32"/>
          <w:szCs w:val="32"/>
        </w:rPr>
      </w:pPr>
      <w:r>
        <w:rPr>
          <w:rFonts w:hint="eastAsia" w:ascii="仿宋_GB2312" w:hAnsi="Times New Roman" w:eastAsia="仿宋_GB2312"/>
          <w:sz w:val="32"/>
          <w:szCs w:val="32"/>
        </w:rPr>
        <w:t>2025年5月19日</w:t>
      </w:r>
    </w:p>
    <w:p>
      <w:pPr>
        <w:autoSpaceDE w:val="0"/>
        <w:spacing w:line="570" w:lineRule="exact"/>
        <w:ind w:firstLine="640" w:firstLineChars="200"/>
        <w:jc w:val="center"/>
        <w:rPr>
          <w:rFonts w:ascii="仿宋_GB2312" w:hAnsi="Times New Roman" w:eastAsia="仿宋_GB2312"/>
          <w:sz w:val="32"/>
          <w:szCs w:val="32"/>
        </w:rPr>
        <w:sectPr>
          <w:footerReference r:id="rId14" w:type="default"/>
          <w:footerReference r:id="rId15" w:type="even"/>
          <w:pgSz w:w="11906" w:h="16838"/>
          <w:pgMar w:top="1531" w:right="1531" w:bottom="1531" w:left="1531" w:header="851" w:footer="1304" w:gutter="0"/>
          <w:cols w:space="720" w:num="1"/>
          <w:titlePg/>
          <w:docGrid w:type="lines" w:linePitch="312" w:charSpace="0"/>
        </w:sectPr>
      </w:pPr>
    </w:p>
    <w:p>
      <w:pPr>
        <w:rPr>
          <w:rFonts w:hint="eastAsia" w:ascii="黑体" w:hAnsi="黑体" w:eastAsia="黑体"/>
          <w:spacing w:val="4"/>
          <w:sz w:val="32"/>
          <w:szCs w:val="32"/>
        </w:rPr>
      </w:pPr>
      <w:r>
        <w:rPr>
          <w:rFonts w:hint="eastAsia" w:ascii="黑体" w:hAnsi="黑体" w:eastAsia="黑体"/>
          <w:spacing w:val="4"/>
          <w:sz w:val="32"/>
          <w:szCs w:val="32"/>
        </w:rPr>
        <w:t>附件</w:t>
      </w:r>
    </w:p>
    <w:p>
      <w:pPr>
        <w:snapToGrid w:val="0"/>
        <w:spacing w:before="62" w:beforeLines="20" w:after="156" w:afterLines="50"/>
        <w:jc w:val="center"/>
        <w:rPr>
          <w:rFonts w:ascii="方正小标宋简体" w:eastAsia="方正小标宋简体"/>
          <w:color w:val="000000"/>
          <w:sz w:val="44"/>
          <w:szCs w:val="44"/>
        </w:rPr>
      </w:pPr>
      <w:r>
        <w:rPr>
          <w:rFonts w:hint="eastAsia" w:ascii="方正小标宋简体" w:eastAsia="方正小标宋简体"/>
          <w:sz w:val="44"/>
          <w:szCs w:val="44"/>
        </w:rPr>
        <w:t>2025年省市区重点民生实事项目任务分解表</w:t>
      </w:r>
    </w:p>
    <w:tbl>
      <w:tblPr>
        <w:tblStyle w:val="5"/>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1"/>
        <w:gridCol w:w="710"/>
        <w:gridCol w:w="1408"/>
        <w:gridCol w:w="2239"/>
        <w:gridCol w:w="2160"/>
        <w:gridCol w:w="2012"/>
        <w:gridCol w:w="1038"/>
        <w:gridCol w:w="196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blHeader/>
          <w:jc w:val="center"/>
        </w:trPr>
        <w:tc>
          <w:tcPr>
            <w:tcW w:w="831" w:type="dxa"/>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类别</w:t>
            </w:r>
          </w:p>
        </w:tc>
        <w:tc>
          <w:tcPr>
            <w:tcW w:w="710" w:type="dxa"/>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序号</w:t>
            </w:r>
          </w:p>
        </w:tc>
        <w:tc>
          <w:tcPr>
            <w:tcW w:w="3647" w:type="dxa"/>
            <w:gridSpan w:val="2"/>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项目名称</w:t>
            </w:r>
          </w:p>
        </w:tc>
        <w:tc>
          <w:tcPr>
            <w:tcW w:w="4172" w:type="dxa"/>
            <w:gridSpan w:val="2"/>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目标任务</w:t>
            </w:r>
          </w:p>
        </w:tc>
        <w:tc>
          <w:tcPr>
            <w:tcW w:w="1038" w:type="dxa"/>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牵头领导</w:t>
            </w:r>
          </w:p>
        </w:tc>
        <w:tc>
          <w:tcPr>
            <w:tcW w:w="1965" w:type="dxa"/>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牵头单位</w:t>
            </w:r>
          </w:p>
        </w:tc>
        <w:tc>
          <w:tcPr>
            <w:tcW w:w="1546" w:type="dxa"/>
            <w:noWrap w:val="0"/>
            <w:vAlign w:val="center"/>
          </w:tcPr>
          <w:p>
            <w:pPr>
              <w:snapToGrid w:val="0"/>
              <w:jc w:val="center"/>
              <w:rPr>
                <w:rFonts w:ascii="黑体" w:hAnsi="黑体" w:eastAsia="黑体"/>
                <w:color w:val="000000"/>
                <w:sz w:val="22"/>
                <w:szCs w:val="22"/>
              </w:rPr>
            </w:pPr>
            <w:r>
              <w:rPr>
                <w:rFonts w:hint="eastAsia" w:ascii="黑体" w:hAnsi="黑体" w:eastAsia="黑体"/>
                <w:color w:val="000000"/>
                <w:sz w:val="22"/>
                <w:szCs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省级</w:t>
            </w:r>
          </w:p>
          <w:p>
            <w:pPr>
              <w:snapToGrid w:val="0"/>
              <w:jc w:val="center"/>
              <w:rPr>
                <w:rFonts w:hint="eastAsia" w:ascii="仿宋_GB2312" w:hAnsi="宋体" w:eastAsia="仿宋_GB2312" w:cs="宋体"/>
                <w:bCs/>
              </w:rPr>
            </w:pPr>
            <w:r>
              <w:rPr>
                <w:rFonts w:hint="eastAsia" w:ascii="仿宋_GB2312" w:hAnsi="宋体" w:eastAsia="仿宋_GB2312" w:cs="宋体"/>
                <w:bCs/>
              </w:rPr>
              <w:t>重点</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snapToGrid w:val="0"/>
              <w:jc w:val="center"/>
              <w:rPr>
                <w:rFonts w:hint="eastAsia" w:ascii="仿宋_GB2312" w:hAnsi="宋体" w:eastAsia="仿宋_GB2312" w:cs="宋体"/>
                <w:bCs/>
              </w:rPr>
            </w:pPr>
            <w:r>
              <w:rPr>
                <w:rFonts w:hint="eastAsia" w:ascii="仿宋_GB2312" w:hAnsi="宋体" w:eastAsia="仿宋_GB2312" w:cs="宋体"/>
                <w:bCs/>
              </w:rPr>
              <w:t>实事</w:t>
            </w: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w:t>
            </w:r>
          </w:p>
        </w:tc>
        <w:tc>
          <w:tcPr>
            <w:tcW w:w="1408"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促进教育高质量发展</w:t>
            </w:r>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更新义务教育学校设备</w:t>
            </w:r>
          </w:p>
        </w:tc>
        <w:tc>
          <w:tcPr>
            <w:tcW w:w="4172" w:type="dxa"/>
            <w:gridSpan w:val="2"/>
            <w:noWrap w:val="0"/>
            <w:vAlign w:val="center"/>
          </w:tcPr>
          <w:p>
            <w:pPr>
              <w:snapToGrid w:val="0"/>
              <w:rPr>
                <w:rFonts w:hint="eastAsia" w:ascii="仿宋_GB2312" w:hAnsi="黑体" w:eastAsia="仿宋_GB2312" w:cs="黑体"/>
              </w:rPr>
            </w:pPr>
            <w:bookmarkStart w:id="4" w:name="OLE_LINK3"/>
            <w:r>
              <w:rPr>
                <w:rFonts w:hint="eastAsia" w:ascii="仿宋_GB2312" w:hAnsi="黑体" w:eastAsia="仿宋_GB2312" w:cs="黑体"/>
              </w:rPr>
              <w:t>补充配置电脑</w:t>
            </w:r>
            <w:bookmarkEnd w:id="4"/>
            <w:r>
              <w:rPr>
                <w:rFonts w:hint="eastAsia" w:ascii="仿宋_GB2312" w:hAnsi="黑体" w:eastAsia="仿宋_GB2312" w:cs="黑体"/>
              </w:rPr>
              <w:t>738台</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区教体局</w:t>
            </w:r>
          </w:p>
        </w:tc>
        <w:tc>
          <w:tcPr>
            <w:tcW w:w="1546"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bookmarkStart w:id="5" w:name="OLE_LINK4"/>
            <w:r>
              <w:rPr>
                <w:rFonts w:hint="eastAsia" w:ascii="仿宋_GB2312" w:hAnsi="黑体" w:eastAsia="仿宋_GB2312" w:cs="黑体"/>
              </w:rPr>
              <w:t>建设物理化学生物考室</w:t>
            </w:r>
            <w:bookmarkEnd w:id="5"/>
            <w:r>
              <w:rPr>
                <w:rFonts w:hint="eastAsia" w:ascii="仿宋_GB2312" w:hAnsi="黑体" w:eastAsia="仿宋_GB2312" w:cs="黑体"/>
              </w:rPr>
              <w:t>3个</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家庭教育指导服务“向阳花”行动</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线上线下开展家庭教育指导服务和实践活动20场，惠及800家长</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区妇联</w:t>
            </w:r>
          </w:p>
        </w:tc>
        <w:tc>
          <w:tcPr>
            <w:tcW w:w="1546"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2</w:t>
            </w:r>
          </w:p>
        </w:tc>
        <w:tc>
          <w:tcPr>
            <w:tcW w:w="1408"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促进高质量充分就业</w:t>
            </w:r>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统筹推进城乡就业</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新增城镇就业4500人以上</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彭  伟</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区人社局</w:t>
            </w:r>
          </w:p>
        </w:tc>
        <w:tc>
          <w:tcPr>
            <w:tcW w:w="1546"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脱贫人口务工规模稳定在2100人以上</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推动创业带动就业</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开展职业技能和创业培训235人次（其中创业培训35人次）</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新发放创业担保贷款3500万元</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3</w:t>
            </w:r>
          </w:p>
        </w:tc>
        <w:tc>
          <w:tcPr>
            <w:tcW w:w="1408" w:type="dxa"/>
            <w:vMerge w:val="restart"/>
            <w:noWrap w:val="0"/>
            <w:vAlign w:val="center"/>
          </w:tcPr>
          <w:p>
            <w:pPr>
              <w:snapToGrid w:val="0"/>
              <w:rPr>
                <w:rFonts w:hint="eastAsia" w:ascii="仿宋_GB2312" w:hAnsi="黑体" w:eastAsia="仿宋_GB2312" w:cs="黑体"/>
              </w:rPr>
            </w:pPr>
            <w:bookmarkStart w:id="6" w:name="OLE_LINK5"/>
            <w:r>
              <w:rPr>
                <w:rFonts w:hint="eastAsia" w:ascii="仿宋_GB2312" w:hAnsi="黑体" w:eastAsia="仿宋_GB2312" w:cs="黑体"/>
              </w:rPr>
              <w:t>提升居民健康水平</w:t>
            </w:r>
            <w:bookmarkEnd w:id="6"/>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提升城乡居民基本公共卫生服务水平</w:t>
            </w:r>
          </w:p>
        </w:tc>
        <w:tc>
          <w:tcPr>
            <w:tcW w:w="4172" w:type="dxa"/>
            <w:gridSpan w:val="2"/>
            <w:noWrap w:val="0"/>
            <w:vAlign w:val="center"/>
          </w:tcPr>
          <w:p>
            <w:pPr>
              <w:snapToGrid w:val="0"/>
              <w:rPr>
                <w:rFonts w:hint="eastAsia" w:ascii="仿宋_GB2312" w:hAnsi="黑体" w:eastAsia="仿宋_GB2312" w:cs="黑体"/>
              </w:rPr>
            </w:pPr>
            <w:bookmarkStart w:id="7" w:name="OLE_LINK7"/>
            <w:r>
              <w:rPr>
                <w:rFonts w:hint="eastAsia" w:ascii="仿宋_GB2312" w:hAnsi="黑体" w:eastAsia="仿宋_GB2312" w:cs="黑体"/>
              </w:rPr>
              <w:t>居民人均基本公共卫生服务经费提升到不低于</w:t>
            </w:r>
            <w:bookmarkEnd w:id="7"/>
            <w:r>
              <w:rPr>
                <w:rFonts w:hint="eastAsia" w:ascii="仿宋_GB2312" w:hAnsi="黑体" w:eastAsia="仿宋_GB2312" w:cs="黑体"/>
              </w:rPr>
              <w:t>99元/人</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区卫健局</w:t>
            </w:r>
          </w:p>
        </w:tc>
        <w:tc>
          <w:tcPr>
            <w:tcW w:w="1546" w:type="dxa"/>
            <w:vMerge w:val="restart"/>
            <w:noWrap w:val="0"/>
            <w:vAlign w:val="center"/>
          </w:tcPr>
          <w:p>
            <w:pPr>
              <w:pStyle w:val="13"/>
              <w:ind w:firstLine="0" w:firstLineChars="0"/>
              <w:jc w:val="center"/>
              <w:rPr>
                <w:rFonts w:hint="eastAsia" w:ascii="仿宋_GB2312" w:hAnsi="黑体" w:eastAsia="仿宋_GB2312" w:cs="黑体"/>
              </w:rPr>
            </w:pPr>
            <w:r>
              <w:rPr>
                <w:rFonts w:hint="eastAsia" w:ascii="仿宋_GB2312" w:hAnsi="黑体" w:eastAsia="仿宋_GB2312" w:cs="黑体"/>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实施家庭医生签约服务提升行动，全区目标人群数4.84万人</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开展提升乡村医生能力和服务行动，全区培训乡村医生7名</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开展“生命起点”守护行动</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优化新生儿疾病免费筛查与诊断服务，做到应检尽检，筛查500名，筛查率达到100%</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推进二级以上公立医疗机构检查检验结果互认共享</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全区二级以上公立医疗机构均完成接口改造，接入省级平台，检查检验结果互认共享完成2个，完成率100%</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促进职工医疗互助提质扩面</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加入医疗互助职工人数达8300人</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区总工会</w:t>
            </w:r>
          </w:p>
        </w:tc>
        <w:tc>
          <w:tcPr>
            <w:tcW w:w="1546" w:type="dxa"/>
            <w:noWrap w:val="0"/>
            <w:vAlign w:val="center"/>
          </w:tcPr>
          <w:p>
            <w:pPr>
              <w:jc w:val="center"/>
              <w:rPr>
                <w:rFonts w:hint="eastAsia" w:ascii="仿宋_GB2312" w:eastAsia="仿宋_GB2312" w:cs="??"/>
                <w:color w:val="000000"/>
              </w:rPr>
            </w:pPr>
            <w:r>
              <w:rPr>
                <w:rFonts w:hint="eastAsia" w:ascii="仿宋_GB2312" w:eastAsia="仿宋_GB2312" w:cs="??"/>
                <w:color w:val="00000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省级</w:t>
            </w:r>
          </w:p>
          <w:p>
            <w:pPr>
              <w:snapToGrid w:val="0"/>
              <w:jc w:val="center"/>
              <w:rPr>
                <w:rFonts w:hint="eastAsia" w:ascii="仿宋_GB2312" w:hAnsi="宋体" w:eastAsia="仿宋_GB2312" w:cs="宋体"/>
                <w:bCs/>
              </w:rPr>
            </w:pPr>
            <w:r>
              <w:rPr>
                <w:rFonts w:hint="eastAsia" w:ascii="仿宋_GB2312" w:hAnsi="宋体" w:eastAsia="仿宋_GB2312" w:cs="宋体"/>
                <w:bCs/>
              </w:rPr>
              <w:t>重点</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jc w:val="center"/>
              <w:rPr>
                <w:rFonts w:hint="eastAsia" w:ascii="仿宋_GB2312" w:eastAsia="仿宋_GB2312" w:cs="黑体"/>
                <w:color w:val="000000"/>
              </w:rPr>
            </w:pPr>
            <w:r>
              <w:rPr>
                <w:rFonts w:hint="eastAsia" w:ascii="仿宋_GB2312" w:hAnsi="宋体" w:eastAsia="仿宋_GB2312" w:cs="宋体"/>
                <w:bCs/>
              </w:rPr>
              <w:t>实事</w:t>
            </w: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4</w:t>
            </w:r>
          </w:p>
        </w:tc>
        <w:tc>
          <w:tcPr>
            <w:tcW w:w="1408" w:type="dxa"/>
            <w:noWrap w:val="0"/>
            <w:vAlign w:val="center"/>
          </w:tcPr>
          <w:p>
            <w:pPr>
              <w:snapToGrid w:val="0"/>
              <w:rPr>
                <w:rFonts w:hint="eastAsia" w:ascii="仿宋_GB2312" w:hAnsi="黑体" w:eastAsia="仿宋_GB2312" w:cs="黑体"/>
              </w:rPr>
            </w:pPr>
            <w:bookmarkStart w:id="8" w:name="OLE_LINK8"/>
            <w:r>
              <w:rPr>
                <w:rFonts w:hint="eastAsia" w:ascii="仿宋_GB2312" w:hAnsi="黑体" w:eastAsia="仿宋_GB2312" w:cs="黑体"/>
              </w:rPr>
              <w:t>提升养老服务水平</w:t>
            </w:r>
            <w:bookmarkEnd w:id="8"/>
          </w:p>
        </w:tc>
        <w:tc>
          <w:tcPr>
            <w:tcW w:w="2239" w:type="dxa"/>
            <w:noWrap w:val="0"/>
            <w:vAlign w:val="center"/>
          </w:tcPr>
          <w:p>
            <w:pPr>
              <w:snapToGrid w:val="0"/>
              <w:rPr>
                <w:rFonts w:hint="eastAsia" w:ascii="仿宋_GB2312" w:hAnsi="黑体" w:eastAsia="仿宋_GB2312" w:cs="黑体"/>
              </w:rPr>
            </w:pPr>
            <w:bookmarkStart w:id="9" w:name="OLE_LINK9"/>
            <w:r>
              <w:rPr>
                <w:rFonts w:hint="eastAsia" w:ascii="仿宋_GB2312" w:hAnsi="黑体" w:eastAsia="仿宋_GB2312" w:cs="黑体"/>
              </w:rPr>
              <w:t>开展“三湘怡养”提升行动</w:t>
            </w:r>
            <w:bookmarkEnd w:id="9"/>
          </w:p>
        </w:tc>
        <w:tc>
          <w:tcPr>
            <w:tcW w:w="4172" w:type="dxa"/>
            <w:gridSpan w:val="2"/>
            <w:noWrap w:val="0"/>
            <w:vAlign w:val="center"/>
          </w:tcPr>
          <w:p>
            <w:pPr>
              <w:snapToGrid w:val="0"/>
              <w:rPr>
                <w:rFonts w:hint="eastAsia" w:ascii="仿宋_GB2312" w:hAnsi="黑体" w:eastAsia="仿宋_GB2312" w:cs="黑体"/>
              </w:rPr>
            </w:pPr>
            <w:bookmarkStart w:id="10" w:name="OLE_LINK10"/>
            <w:r>
              <w:rPr>
                <w:rFonts w:hint="eastAsia" w:ascii="仿宋_GB2312" w:hAnsi="黑体" w:eastAsia="仿宋_GB2312" w:cs="黑体"/>
              </w:rPr>
              <w:t>建设社区老年助餐服务点</w:t>
            </w:r>
            <w:bookmarkEnd w:id="10"/>
            <w:r>
              <w:rPr>
                <w:rFonts w:hint="eastAsia" w:ascii="仿宋_GB2312" w:hAnsi="黑体" w:eastAsia="仿宋_GB2312" w:cs="黑体"/>
              </w:rPr>
              <w:t>2个</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区民政局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5</w:t>
            </w:r>
          </w:p>
        </w:tc>
        <w:tc>
          <w:tcPr>
            <w:tcW w:w="1408" w:type="dxa"/>
            <w:vMerge w:val="restart"/>
            <w:noWrap w:val="0"/>
            <w:vAlign w:val="center"/>
          </w:tcPr>
          <w:p>
            <w:pPr>
              <w:snapToGrid w:val="0"/>
              <w:rPr>
                <w:rFonts w:hint="eastAsia" w:ascii="仿宋_GB2312" w:hAnsi="黑体" w:eastAsia="仿宋_GB2312" w:cs="黑体"/>
              </w:rPr>
            </w:pPr>
            <w:bookmarkStart w:id="11" w:name="OLE_LINK11"/>
            <w:r>
              <w:rPr>
                <w:rFonts w:hint="eastAsia" w:ascii="仿宋_GB2312" w:hAnsi="黑体" w:eastAsia="仿宋_GB2312" w:cs="黑体"/>
              </w:rPr>
              <w:t>提升困难群众救助水平</w:t>
            </w:r>
            <w:bookmarkEnd w:id="11"/>
          </w:p>
        </w:tc>
        <w:tc>
          <w:tcPr>
            <w:tcW w:w="2239" w:type="dxa"/>
            <w:vMerge w:val="restart"/>
            <w:noWrap w:val="0"/>
            <w:vAlign w:val="center"/>
          </w:tcPr>
          <w:p>
            <w:pPr>
              <w:snapToGrid w:val="0"/>
              <w:rPr>
                <w:rFonts w:hint="eastAsia" w:ascii="仿宋_GB2312" w:hAnsi="黑体" w:eastAsia="仿宋_GB2312" w:cs="黑体"/>
              </w:rPr>
            </w:pPr>
            <w:bookmarkStart w:id="12" w:name="OLE_LINK12"/>
            <w:r>
              <w:rPr>
                <w:rFonts w:hint="eastAsia" w:ascii="仿宋_GB2312" w:hAnsi="黑体" w:eastAsia="仿宋_GB2312" w:cs="黑体"/>
              </w:rPr>
              <w:t>提高困难群体救助标准</w:t>
            </w:r>
            <w:bookmarkEnd w:id="12"/>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城乡低保标准分别到不低于740元/月</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区民政局</w:t>
            </w:r>
          </w:p>
        </w:tc>
        <w:tc>
          <w:tcPr>
            <w:tcW w:w="1546" w:type="dxa"/>
            <w:vMerge w:val="restart"/>
            <w:noWrap w:val="0"/>
            <w:vAlign w:val="center"/>
          </w:tcPr>
          <w:p>
            <w:pPr>
              <w:pStyle w:val="13"/>
              <w:ind w:firstLine="0" w:firstLineChars="0"/>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残疾人</w:t>
            </w:r>
            <w:r>
              <w:rPr>
                <w:rFonts w:hint="eastAsia" w:ascii="仿宋_GB2312" w:hAnsi="黑体" w:eastAsia="仿宋_GB2312"/>
              </w:rPr>
              <w:t>“</w:t>
            </w:r>
            <w:r>
              <w:rPr>
                <w:rFonts w:hint="eastAsia" w:ascii="仿宋_GB2312" w:hAnsi="黑体" w:eastAsia="仿宋_GB2312" w:cs="黑体"/>
              </w:rPr>
              <w:t>两项补贴</w:t>
            </w:r>
            <w:r>
              <w:rPr>
                <w:rFonts w:hint="eastAsia" w:ascii="仿宋_GB2312" w:hAnsi="黑体" w:eastAsia="仿宋_GB2312"/>
              </w:rPr>
              <w:t>”</w:t>
            </w:r>
            <w:r>
              <w:rPr>
                <w:rFonts w:hint="eastAsia" w:ascii="仿宋_GB2312" w:hAnsi="黑体" w:eastAsia="仿宋_GB2312" w:cs="黑体"/>
              </w:rPr>
              <w:t>标准达到100元/月.人</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社会散居和集中供养孤儿基本生活最低保障标准分别不低于1200元/月和1700元/月</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事实无人抚养儿童、艾滋病病毒感染儿童参照孤儿标准同等保障</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实施残疾人关爱行动</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康复救助残疾儿童46人</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区残联</w:t>
            </w:r>
          </w:p>
        </w:tc>
        <w:tc>
          <w:tcPr>
            <w:tcW w:w="1546" w:type="dxa"/>
            <w:vMerge w:val="restart"/>
            <w:noWrap w:val="0"/>
            <w:vAlign w:val="center"/>
          </w:tcPr>
          <w:p>
            <w:pPr>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残疾人托养服务94人</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6</w:t>
            </w:r>
          </w:p>
        </w:tc>
        <w:tc>
          <w:tcPr>
            <w:tcW w:w="1408"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提升居民消费能力</w:t>
            </w: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开展生活类消费品以旧换新补贴活动</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在规定时间内，符合补贴范围的生活类消费品补贴率达到100%</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区商粮局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
                <w:color w:val="00000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7"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推进农村客货邮融合发展和农村寄递物流综合服务站建设</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农村寄递物流综合服务站覆盖率全市不低于80%</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区物流发展服务中心</w:t>
            </w:r>
          </w:p>
          <w:p>
            <w:pPr>
              <w:snapToGrid w:val="0"/>
              <w:jc w:val="center"/>
              <w:rPr>
                <w:rFonts w:hint="eastAsia" w:ascii="仿宋_GB2312" w:hAnsi="黑体" w:eastAsia="仿宋_GB2312" w:cs="黑体"/>
              </w:rPr>
            </w:pPr>
            <w:r>
              <w:rPr>
                <w:rFonts w:hint="eastAsia" w:ascii="仿宋_GB2312" w:hAnsi="黑体" w:eastAsia="仿宋_GB2312" w:cs="黑体"/>
              </w:rPr>
              <w:t>邮政分公司</w:t>
            </w:r>
          </w:p>
        </w:tc>
        <w:tc>
          <w:tcPr>
            <w:tcW w:w="1546" w:type="dxa"/>
            <w:noWrap w:val="0"/>
            <w:vAlign w:val="center"/>
          </w:tcPr>
          <w:p>
            <w:pPr>
              <w:jc w:val="center"/>
              <w:rPr>
                <w:rFonts w:hint="eastAsia" w:ascii="仿宋_GB2312" w:eastAsia="仿宋_GB2312" w:cs="黑体"/>
                <w:color w:val="000000"/>
              </w:rPr>
            </w:pPr>
            <w:r>
              <w:rPr>
                <w:rFonts w:hint="eastAsia" w:ascii="仿宋_GB2312" w:eastAsia="仿宋_GB2312" w:cs="??"/>
                <w:color w:val="00000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省级</w:t>
            </w:r>
          </w:p>
          <w:p>
            <w:pPr>
              <w:snapToGrid w:val="0"/>
              <w:jc w:val="center"/>
              <w:rPr>
                <w:rFonts w:hint="eastAsia" w:ascii="仿宋_GB2312" w:hAnsi="宋体" w:eastAsia="仿宋_GB2312" w:cs="宋体"/>
                <w:bCs/>
              </w:rPr>
            </w:pPr>
            <w:r>
              <w:rPr>
                <w:rFonts w:hint="eastAsia" w:ascii="仿宋_GB2312" w:hAnsi="宋体" w:eastAsia="仿宋_GB2312" w:cs="宋体"/>
                <w:bCs/>
              </w:rPr>
              <w:t>重点</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widowControl/>
              <w:jc w:val="center"/>
              <w:rPr>
                <w:rFonts w:hint="eastAsia" w:ascii="仿宋_GB2312" w:eastAsia="仿宋_GB2312" w:cs="黑体"/>
                <w:color w:val="000000"/>
              </w:rPr>
            </w:pPr>
            <w:r>
              <w:rPr>
                <w:rFonts w:hint="eastAsia" w:ascii="仿宋_GB2312" w:hAnsi="宋体" w:eastAsia="仿宋_GB2312" w:cs="宋体"/>
                <w:bCs/>
              </w:rPr>
              <w:t>实事</w:t>
            </w: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7</w:t>
            </w:r>
          </w:p>
        </w:tc>
        <w:tc>
          <w:tcPr>
            <w:tcW w:w="1408" w:type="dxa"/>
            <w:vMerge w:val="restart"/>
            <w:noWrap w:val="0"/>
            <w:vAlign w:val="center"/>
          </w:tcPr>
          <w:p>
            <w:pPr>
              <w:snapToGrid w:val="0"/>
              <w:rPr>
                <w:rFonts w:hint="eastAsia" w:ascii="仿宋_GB2312" w:hAnsi="黑体" w:eastAsia="仿宋_GB2312" w:cs="黑体"/>
              </w:rPr>
            </w:pPr>
            <w:bookmarkStart w:id="13" w:name="OLE_LINK14"/>
            <w:r>
              <w:rPr>
                <w:rFonts w:hint="eastAsia" w:ascii="仿宋_GB2312" w:hAnsi="黑体" w:eastAsia="仿宋_GB2312" w:cs="黑体"/>
              </w:rPr>
              <w:t>加强数字政务服务能力建设</w:t>
            </w:r>
            <w:bookmarkEnd w:id="13"/>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数字政务服务能力</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实施数字惠民工程，高效办成一件事100%</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何  旭</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区数据局</w:t>
            </w:r>
          </w:p>
        </w:tc>
        <w:tc>
          <w:tcPr>
            <w:tcW w:w="1546" w:type="dxa"/>
            <w:vMerge w:val="restart"/>
            <w:noWrap w:val="0"/>
            <w:vAlign w:val="center"/>
          </w:tcPr>
          <w:p>
            <w:pPr>
              <w:snapToGrid w:val="0"/>
              <w:jc w:val="center"/>
              <w:rPr>
                <w:rFonts w:hint="eastAsia" w:ascii="仿宋_GB2312" w:eastAsia="仿宋_GB2312" w:cs="黑体"/>
                <w:color w:val="000000"/>
              </w:rPr>
            </w:pPr>
            <w:r>
              <w:rPr>
                <w:rFonts w:hint="eastAsia" w:ascii="仿宋_GB2312" w:eastAsia="仿宋_GB2312" w:cs="??"/>
                <w:color w:val="00000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线上增效服务，一网通办率达到90%</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spacing w:val="-6"/>
              </w:rPr>
            </w:pPr>
            <w:r>
              <w:rPr>
                <w:rFonts w:hint="eastAsia" w:ascii="仿宋_GB2312" w:hAnsi="黑体" w:eastAsia="仿宋_GB2312"/>
                <w:spacing w:val="-6"/>
              </w:rPr>
              <w:t>“</w:t>
            </w:r>
            <w:r>
              <w:rPr>
                <w:rFonts w:hint="eastAsia" w:ascii="仿宋_GB2312" w:hAnsi="黑体" w:eastAsia="仿宋_GB2312" w:cs="黑体"/>
                <w:spacing w:val="-6"/>
              </w:rPr>
              <w:t>湘易办</w:t>
            </w:r>
            <w:r>
              <w:rPr>
                <w:rFonts w:hint="eastAsia" w:ascii="仿宋_GB2312" w:hAnsi="黑体" w:eastAsia="仿宋_GB2312"/>
                <w:spacing w:val="-6"/>
              </w:rPr>
              <w:t>”</w:t>
            </w:r>
            <w:r>
              <w:rPr>
                <w:rFonts w:hint="eastAsia" w:ascii="仿宋_GB2312" w:hAnsi="黑体" w:eastAsia="仿宋_GB2312" w:cs="黑体"/>
                <w:spacing w:val="-6"/>
              </w:rPr>
              <w:t>市州专区接入不少于100项高频服务</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线下扩面服务，政务大厅增值服务项目创新不少于3项</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推进政务服务中心</w:t>
            </w:r>
            <w:r>
              <w:rPr>
                <w:rFonts w:hint="eastAsia" w:ascii="仿宋_GB2312" w:hAnsi="黑体" w:eastAsia="仿宋_GB2312"/>
              </w:rPr>
              <w:t>“</w:t>
            </w:r>
            <w:r>
              <w:rPr>
                <w:rFonts w:hint="eastAsia" w:ascii="仿宋_GB2312" w:hAnsi="黑体" w:eastAsia="仿宋_GB2312" w:cs="黑体"/>
              </w:rPr>
              <w:t>一窗受理</w:t>
            </w:r>
            <w:r>
              <w:rPr>
                <w:rFonts w:hint="eastAsia" w:ascii="仿宋_GB2312" w:hAnsi="黑体" w:eastAsia="仿宋_GB2312"/>
              </w:rPr>
              <w:t>”</w:t>
            </w:r>
            <w:r>
              <w:rPr>
                <w:rFonts w:hint="eastAsia" w:ascii="仿宋_GB2312" w:hAnsi="黑体" w:eastAsia="仿宋_GB2312" w:cs="黑体"/>
              </w:rPr>
              <w:t>政务事项扩面增效60%以上</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160"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推进社会保障卡（电子社保卡）居民服务</w:t>
            </w:r>
            <w:r>
              <w:rPr>
                <w:rFonts w:hint="eastAsia" w:ascii="仿宋_GB2312" w:hAnsi="黑体" w:eastAsia="仿宋_GB2312"/>
              </w:rPr>
              <w:t>“</w:t>
            </w:r>
            <w:r>
              <w:rPr>
                <w:rFonts w:hint="eastAsia" w:ascii="仿宋_GB2312" w:hAnsi="黑体" w:eastAsia="仿宋_GB2312" w:cs="黑体"/>
              </w:rPr>
              <w:t>一卡通</w:t>
            </w:r>
            <w:r>
              <w:rPr>
                <w:rFonts w:hint="eastAsia" w:ascii="仿宋_GB2312" w:hAnsi="黑体" w:eastAsia="仿宋_GB2312"/>
              </w:rPr>
              <w:t>”</w:t>
            </w:r>
            <w:r>
              <w:rPr>
                <w:rFonts w:hint="eastAsia" w:ascii="仿宋_GB2312" w:hAnsi="黑体" w:eastAsia="仿宋_GB2312" w:cs="黑体"/>
              </w:rPr>
              <w:t>，推进社保互联互通。推进社会保障卡在政务服务、就医购药、交通出行、文化旅游、酒店住宿、信用服务等领</w:t>
            </w:r>
            <w:r>
              <w:rPr>
                <w:rFonts w:hint="eastAsia" w:ascii="仿宋_GB2312" w:hAnsi="黑体" w:eastAsia="仿宋_GB2312" w:cs="黑体"/>
                <w:spacing w:val="-6"/>
              </w:rPr>
              <w:t>域的应用，全市应用场景覆盖率达到50%以上</w:t>
            </w:r>
          </w:p>
        </w:tc>
        <w:tc>
          <w:tcPr>
            <w:tcW w:w="2012" w:type="dxa"/>
            <w:noWrap w:val="0"/>
            <w:vAlign w:val="center"/>
          </w:tcPr>
          <w:p>
            <w:pPr>
              <w:snapToGrid w:val="0"/>
              <w:rPr>
                <w:rFonts w:hint="eastAsia" w:ascii="仿宋_GB2312" w:hAnsi="黑体" w:eastAsia="仿宋_GB2312" w:cs="黑体"/>
              </w:rPr>
            </w:pPr>
            <w:bookmarkStart w:id="14" w:name="OLE_LINK15"/>
            <w:r>
              <w:rPr>
                <w:rFonts w:hint="eastAsia" w:ascii="仿宋_GB2312" w:hAnsi="黑体" w:eastAsia="仿宋_GB2312" w:cs="黑体"/>
              </w:rPr>
              <w:t>公立医院</w:t>
            </w:r>
            <w:bookmarkEnd w:id="14"/>
            <w:r>
              <w:rPr>
                <w:rFonts w:hint="eastAsia" w:ascii="仿宋_GB2312" w:hAnsi="黑体" w:eastAsia="仿宋_GB2312" w:cs="黑体"/>
              </w:rPr>
              <w:t>1个</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彭  伟</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区人社局</w:t>
            </w:r>
          </w:p>
        </w:tc>
        <w:tc>
          <w:tcPr>
            <w:tcW w:w="1546" w:type="dxa"/>
            <w:vMerge w:val="restart"/>
            <w:noWrap w:val="0"/>
            <w:vAlign w:val="center"/>
          </w:tcPr>
          <w:p>
            <w:pPr>
              <w:jc w:val="center"/>
              <w:rPr>
                <w:rFonts w:hint="eastAsia" w:ascii="仿宋_GB2312" w:eastAsia="仿宋_GB2312" w:cs="黑体"/>
                <w:color w:val="000000"/>
              </w:rPr>
            </w:pPr>
            <w:r>
              <w:rPr>
                <w:rFonts w:hint="eastAsia" w:ascii="仿宋_GB2312" w:eastAsia="仿宋_GB2312" w:cs="黑体"/>
                <w:color w:val="00000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012"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文化场馆1个</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012"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酒店（旅馆）35个</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5"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012"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“湘信码”信用服务接入率100%</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9"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8</w:t>
            </w:r>
          </w:p>
        </w:tc>
        <w:tc>
          <w:tcPr>
            <w:tcW w:w="1408"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加强防灾减灾救灾能力建设</w:t>
            </w: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加强应急广播体系建设</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完成市州和未受中央补助的县市区应急广播建设项目的网络安全测试，完成剩余未受中央补助的县市区应急广播体系的建设和验收，网络安全测试合格率达100%（1个）</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何  旭</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区文旅广电局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实施消防安全基层基础进阶工程</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为全区特困人员家庭每户安装1个无线感烟火灾探测报警器425户</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彭  伟</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区消防救援大队</w:t>
            </w:r>
          </w:p>
        </w:tc>
        <w:tc>
          <w:tcPr>
            <w:tcW w:w="1546" w:type="dxa"/>
            <w:noWrap w:val="0"/>
            <w:vAlign w:val="center"/>
          </w:tcPr>
          <w:p>
            <w:pPr>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省级</w:t>
            </w:r>
          </w:p>
          <w:p>
            <w:pPr>
              <w:snapToGrid w:val="0"/>
              <w:jc w:val="center"/>
              <w:rPr>
                <w:rFonts w:hint="eastAsia" w:ascii="仿宋_GB2312" w:hAnsi="宋体" w:eastAsia="仿宋_GB2312" w:cs="宋体"/>
                <w:bCs/>
              </w:rPr>
            </w:pPr>
            <w:r>
              <w:rPr>
                <w:rFonts w:hint="eastAsia" w:ascii="仿宋_GB2312" w:hAnsi="宋体" w:eastAsia="仿宋_GB2312" w:cs="宋体"/>
                <w:bCs/>
              </w:rPr>
              <w:t>重点</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widowControl/>
              <w:jc w:val="center"/>
              <w:rPr>
                <w:rFonts w:hint="eastAsia" w:ascii="仿宋_GB2312" w:eastAsia="仿宋_GB2312" w:cs="黑体"/>
                <w:color w:val="000000"/>
              </w:rPr>
            </w:pPr>
            <w:r>
              <w:rPr>
                <w:rFonts w:hint="eastAsia" w:ascii="仿宋_GB2312" w:hAnsi="宋体" w:eastAsia="仿宋_GB2312" w:cs="宋体"/>
                <w:bCs/>
              </w:rPr>
              <w:t>实事</w:t>
            </w: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9</w:t>
            </w:r>
          </w:p>
        </w:tc>
        <w:tc>
          <w:tcPr>
            <w:tcW w:w="1408" w:type="dxa"/>
            <w:vMerge w:val="restart"/>
            <w:noWrap w:val="0"/>
            <w:vAlign w:val="center"/>
          </w:tcPr>
          <w:p>
            <w:pPr>
              <w:snapToGrid w:val="0"/>
              <w:rPr>
                <w:rFonts w:hint="eastAsia" w:ascii="仿宋_GB2312" w:hAnsi="黑体" w:eastAsia="仿宋_GB2312" w:cs="黑体"/>
              </w:rPr>
            </w:pPr>
            <w:bookmarkStart w:id="15" w:name="OLE_LINK28"/>
            <w:r>
              <w:rPr>
                <w:rFonts w:hint="eastAsia" w:ascii="仿宋_GB2312" w:hAnsi="黑体" w:eastAsia="仿宋_GB2312" w:cs="黑体"/>
              </w:rPr>
              <w:t>加强人居环境建设</w:t>
            </w:r>
            <w:bookmarkEnd w:id="15"/>
          </w:p>
        </w:tc>
        <w:tc>
          <w:tcPr>
            <w:tcW w:w="2239" w:type="dxa"/>
            <w:vMerge w:val="restart"/>
            <w:noWrap w:val="0"/>
            <w:vAlign w:val="center"/>
          </w:tcPr>
          <w:p>
            <w:pPr>
              <w:snapToGrid w:val="0"/>
              <w:rPr>
                <w:rFonts w:hint="eastAsia" w:ascii="仿宋_GB2312" w:hAnsi="黑体" w:eastAsia="仿宋_GB2312" w:cs="黑体"/>
                <w:spacing w:val="-6"/>
              </w:rPr>
            </w:pPr>
            <w:bookmarkStart w:id="16" w:name="OLE_LINK29"/>
            <w:r>
              <w:rPr>
                <w:rFonts w:hint="eastAsia" w:ascii="仿宋_GB2312" w:hAnsi="黑体" w:eastAsia="仿宋_GB2312" w:cs="黑体"/>
                <w:spacing w:val="-6"/>
              </w:rPr>
              <w:t>实施城镇保障性安居工程</w:t>
            </w:r>
            <w:bookmarkEnd w:id="16"/>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改造城镇老旧小区1个</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廖新华</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区住建局</w:t>
            </w:r>
          </w:p>
        </w:tc>
        <w:tc>
          <w:tcPr>
            <w:tcW w:w="1546" w:type="dxa"/>
            <w:vMerge w:val="restart"/>
            <w:noWrap w:val="0"/>
            <w:vAlign w:val="center"/>
          </w:tcPr>
          <w:p>
            <w:pPr>
              <w:jc w:val="center"/>
              <w:rPr>
                <w:rFonts w:hint="eastAsia" w:ascii="仿宋_GB2312" w:eastAsia="仿宋_GB2312" w:cs="黑体"/>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结合老旧小区改造等建设电动自行车、电动摩托车充电端口147个</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9"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推进电动汽车公共充电基础设施建设</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新建电动汽车公共充电桩（车位）11个</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彭  伟</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区发改局</w:t>
            </w:r>
          </w:p>
          <w:p>
            <w:pPr>
              <w:snapToGrid w:val="0"/>
              <w:jc w:val="center"/>
              <w:rPr>
                <w:rFonts w:hint="eastAsia" w:ascii="仿宋_GB2312" w:hAnsi="黑体" w:eastAsia="仿宋_GB2312" w:cs="黑体"/>
              </w:rPr>
            </w:pPr>
            <w:r>
              <w:rPr>
                <w:rFonts w:hint="eastAsia" w:ascii="仿宋_GB2312" w:hAnsi="黑体" w:eastAsia="仿宋_GB2312" w:cs="黑体"/>
              </w:rPr>
              <w:t>区城发集团</w:t>
            </w:r>
          </w:p>
        </w:tc>
        <w:tc>
          <w:tcPr>
            <w:tcW w:w="1546" w:type="dxa"/>
            <w:noWrap w:val="0"/>
            <w:vAlign w:val="center"/>
          </w:tcPr>
          <w:p>
            <w:pPr>
              <w:jc w:val="center"/>
              <w:rPr>
                <w:rFonts w:hint="eastAsia" w:ascii="仿宋_GB2312" w:eastAsia="仿宋_GB2312" w:cs="黑体"/>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10</w:t>
            </w:r>
          </w:p>
        </w:tc>
        <w:tc>
          <w:tcPr>
            <w:tcW w:w="1408" w:type="dxa"/>
            <w:vMerge w:val="restart"/>
            <w:noWrap w:val="0"/>
            <w:vAlign w:val="center"/>
          </w:tcPr>
          <w:p>
            <w:pPr>
              <w:snapToGrid w:val="0"/>
              <w:rPr>
                <w:rFonts w:hint="eastAsia" w:ascii="仿宋_GB2312" w:hAnsi="黑体" w:eastAsia="仿宋_GB2312" w:cs="黑体"/>
              </w:rPr>
            </w:pPr>
            <w:bookmarkStart w:id="17" w:name="OLE_LINK17"/>
            <w:r>
              <w:rPr>
                <w:rFonts w:hint="eastAsia" w:ascii="仿宋_GB2312" w:hAnsi="黑体" w:eastAsia="仿宋_GB2312" w:cs="黑体"/>
              </w:rPr>
              <w:t>加强农业农村基础设施建设</w:t>
            </w:r>
            <w:bookmarkEnd w:id="17"/>
          </w:p>
        </w:tc>
        <w:tc>
          <w:tcPr>
            <w:tcW w:w="2239" w:type="dxa"/>
            <w:vMerge w:val="restart"/>
            <w:noWrap w:val="0"/>
            <w:vAlign w:val="center"/>
          </w:tcPr>
          <w:p>
            <w:pPr>
              <w:snapToGrid w:val="0"/>
              <w:rPr>
                <w:rFonts w:hint="eastAsia" w:ascii="仿宋_GB2312" w:hAnsi="黑体" w:eastAsia="仿宋_GB2312" w:cs="黑体"/>
              </w:rPr>
            </w:pPr>
            <w:bookmarkStart w:id="18" w:name="OLE_LINK18"/>
            <w:r>
              <w:rPr>
                <w:rFonts w:hint="eastAsia" w:ascii="仿宋_GB2312" w:hAnsi="黑体" w:eastAsia="仿宋_GB2312" w:cs="黑体"/>
              </w:rPr>
              <w:t>开展新一轮农村公路提升行动</w:t>
            </w:r>
            <w:bookmarkEnd w:id="18"/>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新</w:t>
            </w:r>
            <w:r>
              <w:rPr>
                <w:rFonts w:hint="eastAsia" w:ascii="仿宋_GB2312" w:hAnsi="黑体" w:eastAsia="仿宋_GB2312" w:cs="黑体"/>
                <w:spacing w:val="-6"/>
              </w:rPr>
              <w:t>增纳入交通部门管养范围农村道路146公里</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区公路建养中心</w:t>
            </w:r>
          </w:p>
        </w:tc>
        <w:tc>
          <w:tcPr>
            <w:tcW w:w="1546" w:type="dxa"/>
            <w:vMerge w:val="restart"/>
            <w:noWrap w:val="0"/>
            <w:vAlign w:val="center"/>
          </w:tcPr>
          <w:p>
            <w:pPr>
              <w:snapToGrid w:val="0"/>
              <w:jc w:val="center"/>
              <w:rPr>
                <w:rFonts w:hint="eastAsia" w:ascii="仿宋_GB2312" w:eastAsia="仿宋_GB2312" w:cs="黑体"/>
                <w:color w:val="000000"/>
                <w:spacing w:val="-6"/>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农村公路提质改造0.6公里</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bookmarkStart w:id="19" w:name="OLE_LINK20"/>
            <w:r>
              <w:rPr>
                <w:rFonts w:hint="eastAsia" w:ascii="仿宋_GB2312" w:hAnsi="黑体" w:eastAsia="仿宋_GB2312" w:cs="黑体"/>
              </w:rPr>
              <w:t>提升农村水源保障及灌溉能力</w:t>
            </w:r>
            <w:bookmarkEnd w:id="19"/>
          </w:p>
        </w:tc>
        <w:tc>
          <w:tcPr>
            <w:tcW w:w="4172" w:type="dxa"/>
            <w:gridSpan w:val="2"/>
            <w:noWrap w:val="0"/>
            <w:vAlign w:val="center"/>
          </w:tcPr>
          <w:p>
            <w:pPr>
              <w:snapToGrid w:val="0"/>
              <w:rPr>
                <w:rFonts w:hint="eastAsia" w:ascii="仿宋_GB2312" w:hAnsi="黑体" w:eastAsia="仿宋_GB2312" w:cs="黑体"/>
              </w:rPr>
            </w:pPr>
            <w:bookmarkStart w:id="20" w:name="OLE_LINK21"/>
            <w:r>
              <w:rPr>
                <w:rFonts w:hint="eastAsia" w:ascii="仿宋_GB2312" w:hAnsi="黑体" w:eastAsia="仿宋_GB2312" w:cs="黑体"/>
              </w:rPr>
              <w:t>新增蓄水能</w:t>
            </w:r>
            <w:bookmarkEnd w:id="20"/>
            <w:r>
              <w:rPr>
                <w:rFonts w:hint="eastAsia" w:ascii="仿宋_GB2312" w:hAnsi="黑体" w:eastAsia="仿宋_GB2312" w:cs="黑体"/>
              </w:rPr>
              <w:t>力3万方</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向  彪</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区水利局</w:t>
            </w:r>
          </w:p>
        </w:tc>
        <w:tc>
          <w:tcPr>
            <w:tcW w:w="1546" w:type="dxa"/>
            <w:noWrap w:val="0"/>
            <w:vAlign w:val="center"/>
          </w:tcPr>
          <w:p>
            <w:pPr>
              <w:snapToGrid w:val="0"/>
              <w:jc w:val="center"/>
              <w:rPr>
                <w:rFonts w:hint="eastAsia" w:ascii="仿宋_GB2312" w:eastAsia="仿宋_GB2312" w:cs="黑体"/>
                <w:color w:val="000000"/>
                <w:spacing w:val="6"/>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实施农村电网巩固提升工程</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10千伏及以下农村配电网巩固提升工程投入资金11290万元</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供电分公司</w:t>
            </w:r>
          </w:p>
        </w:tc>
        <w:tc>
          <w:tcPr>
            <w:tcW w:w="1546" w:type="dxa"/>
            <w:vMerge w:val="restart"/>
            <w:noWrap w:val="0"/>
            <w:vAlign w:val="center"/>
          </w:tcPr>
          <w:p>
            <w:pPr>
              <w:snapToGrid w:val="0"/>
              <w:jc w:val="center"/>
              <w:rPr>
                <w:rFonts w:hint="eastAsia" w:ascii="仿宋_GB2312" w:eastAsia="仿宋_GB2312" w:cs="黑体"/>
                <w:color w:val="000000"/>
                <w:spacing w:val="-6"/>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35-110千伏及以下农村主电网开工建设投入资金2260万元</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8" w:hRule="atLeast"/>
          <w:jc w:val="center"/>
        </w:trPr>
        <w:tc>
          <w:tcPr>
            <w:tcW w:w="0" w:type="auto"/>
            <w:vMerge w:val="continue"/>
            <w:noWrap w:val="0"/>
            <w:vAlign w:val="center"/>
          </w:tcPr>
          <w:p>
            <w:pPr>
              <w:widowControl/>
              <w:jc w:val="left"/>
              <w:rPr>
                <w:rFonts w:hint="eastAsia" w:ascii="仿宋_GB2312" w:eastAsia="仿宋_GB2312" w:cs="黑体"/>
                <w:color w:val="000000"/>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vMerge w:val="continue"/>
            <w:noWrap w:val="0"/>
            <w:vAlign w:val="center"/>
          </w:tcPr>
          <w:p>
            <w:pPr>
              <w:widowControl/>
              <w:jc w:val="left"/>
              <w:rPr>
                <w:rFonts w:hint="eastAsia" w:ascii="仿宋_GB2312" w:hAnsi="黑体" w:eastAsia="仿宋_GB2312" w:cs="黑体"/>
              </w:rPr>
            </w:pPr>
          </w:p>
        </w:tc>
        <w:tc>
          <w:tcPr>
            <w:tcW w:w="2239" w:type="dxa"/>
            <w:noWrap w:val="0"/>
            <w:vAlign w:val="center"/>
          </w:tcPr>
          <w:p>
            <w:pPr>
              <w:snapToGrid w:val="0"/>
              <w:rPr>
                <w:rFonts w:hint="eastAsia" w:ascii="仿宋_GB2312" w:hAnsi="黑体" w:eastAsia="仿宋_GB2312" w:cs="黑体"/>
              </w:rPr>
            </w:pPr>
            <w:r>
              <w:rPr>
                <w:rFonts w:hint="eastAsia" w:ascii="仿宋_GB2312" w:hAnsi="黑体" w:eastAsia="仿宋_GB2312" w:cs="黑体"/>
              </w:rPr>
              <w:t>实施农村通信网络巩固提升工程</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新建38个4G/5G基站，共享3个4G/5G基站，同步建设铁塔、传输设施等</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移动云溪分公司</w:t>
            </w:r>
          </w:p>
        </w:tc>
        <w:tc>
          <w:tcPr>
            <w:tcW w:w="1546"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区科工局</w:t>
            </w:r>
          </w:p>
          <w:p>
            <w:pPr>
              <w:snapToGrid w:val="0"/>
              <w:jc w:val="center"/>
              <w:rPr>
                <w:rFonts w:hint="eastAsia" w:ascii="仿宋_GB2312" w:hAnsi="黑体" w:eastAsia="仿宋_GB2312" w:cs="黑体"/>
              </w:rPr>
            </w:pPr>
            <w:r>
              <w:rPr>
                <w:rFonts w:hint="eastAsia" w:ascii="仿宋_GB2312" w:hAnsi="黑体" w:eastAsia="仿宋_GB2312" w:cs="黑体"/>
              </w:rPr>
              <w:t>电信云溪分局</w:t>
            </w:r>
          </w:p>
          <w:p>
            <w:pPr>
              <w:snapToGrid w:val="0"/>
              <w:jc w:val="center"/>
              <w:rPr>
                <w:rFonts w:hint="eastAsia" w:ascii="仿宋_GB2312" w:hAnsi="黑体" w:eastAsia="仿宋_GB2312" w:cs="黑体"/>
              </w:rPr>
            </w:pPr>
            <w:r>
              <w:rPr>
                <w:rFonts w:hint="eastAsia" w:ascii="仿宋_GB2312" w:hAnsi="黑体" w:eastAsia="仿宋_GB2312" w:cs="黑体"/>
              </w:rPr>
              <w:t>联通云溪分公司</w:t>
            </w:r>
          </w:p>
          <w:p>
            <w:pPr>
              <w:snapToGrid w:val="0"/>
              <w:jc w:val="center"/>
              <w:rPr>
                <w:rFonts w:hint="eastAsia" w:ascii="仿宋_GB2312" w:hAnsi="黑体" w:eastAsia="仿宋_GB2312" w:cs="黑体"/>
              </w:rPr>
            </w:pPr>
            <w:r>
              <w:rPr>
                <w:rFonts w:hint="eastAsia" w:ascii="仿宋_GB2312" w:hAnsi="黑体" w:eastAsia="仿宋_GB2312" w:cs="黑体"/>
              </w:rPr>
              <w:t>供电分公司</w:t>
            </w:r>
          </w:p>
          <w:p>
            <w:pPr>
              <w:snapToGrid w:val="0"/>
              <w:jc w:val="center"/>
              <w:rPr>
                <w:rFonts w:hint="eastAsia" w:ascii="仿宋_GB2312" w:hAnsi="黑体" w:eastAsia="仿宋_GB2312" w:cs="黑体"/>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市级</w:t>
            </w:r>
          </w:p>
          <w:p>
            <w:pPr>
              <w:snapToGrid w:val="0"/>
              <w:jc w:val="center"/>
              <w:rPr>
                <w:rFonts w:hint="eastAsia" w:ascii="仿宋_GB2312" w:hAnsi="宋体" w:eastAsia="仿宋_GB2312" w:cs="宋体"/>
                <w:bCs/>
              </w:rPr>
            </w:pPr>
            <w:r>
              <w:rPr>
                <w:rFonts w:hint="eastAsia" w:ascii="仿宋_GB2312" w:hAnsi="宋体" w:eastAsia="仿宋_GB2312" w:cs="宋体"/>
                <w:bCs/>
              </w:rPr>
              <w:t>重点</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snapToGrid w:val="0"/>
              <w:jc w:val="center"/>
              <w:rPr>
                <w:rFonts w:hint="eastAsia" w:ascii="仿宋_GB2312" w:hAnsi="宋体" w:eastAsia="仿宋_GB2312" w:cs="宋体"/>
                <w:bCs/>
              </w:rPr>
            </w:pPr>
            <w:r>
              <w:rPr>
                <w:rFonts w:hint="eastAsia" w:ascii="仿宋_GB2312" w:hAnsi="宋体" w:eastAsia="仿宋_GB2312" w:cs="宋体"/>
                <w:bCs/>
              </w:rPr>
              <w:t>实事</w:t>
            </w: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11</w:t>
            </w:r>
          </w:p>
        </w:tc>
        <w:tc>
          <w:tcPr>
            <w:tcW w:w="3647"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全市医疗救助全覆盖</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完成医疗救助参保资助、门诊医疗救助、住院医疗救助和再救助0.7万人次</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区医保局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12</w:t>
            </w:r>
          </w:p>
        </w:tc>
        <w:tc>
          <w:tcPr>
            <w:tcW w:w="3647"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实行孕产妇13种致畸基因免费筛查</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实行孕产妇13种致畸基因免费筛查530人</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区卫健局</w:t>
            </w:r>
          </w:p>
        </w:tc>
        <w:tc>
          <w:tcPr>
            <w:tcW w:w="1546" w:type="dxa"/>
            <w:vMerge w:val="restart"/>
            <w:noWrap w:val="0"/>
            <w:vAlign w:val="center"/>
          </w:tcPr>
          <w:p>
            <w:pPr>
              <w:snapToGrid w:val="0"/>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13</w:t>
            </w:r>
          </w:p>
        </w:tc>
        <w:tc>
          <w:tcPr>
            <w:tcW w:w="3647"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计划生育特殊家庭关怀扶助工作</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实施计划生育特殊家庭关怀扶助241人</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市级</w:t>
            </w:r>
          </w:p>
          <w:p>
            <w:pPr>
              <w:snapToGrid w:val="0"/>
              <w:jc w:val="center"/>
              <w:rPr>
                <w:rFonts w:hint="eastAsia" w:ascii="仿宋_GB2312" w:hAnsi="宋体" w:eastAsia="仿宋_GB2312" w:cs="宋体"/>
                <w:bCs/>
              </w:rPr>
            </w:pPr>
            <w:r>
              <w:rPr>
                <w:rFonts w:hint="eastAsia" w:ascii="仿宋_GB2312" w:hAnsi="宋体" w:eastAsia="仿宋_GB2312" w:cs="宋体"/>
                <w:bCs/>
              </w:rPr>
              <w:t>重点</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snapToGrid w:val="0"/>
              <w:jc w:val="center"/>
              <w:rPr>
                <w:rFonts w:hint="eastAsia" w:ascii="仿宋_GB2312" w:hAnsi="宋体" w:eastAsia="仿宋_GB2312" w:cs="宋体"/>
                <w:bCs/>
              </w:rPr>
            </w:pPr>
            <w:r>
              <w:rPr>
                <w:rFonts w:hint="eastAsia" w:ascii="仿宋_GB2312" w:hAnsi="宋体" w:eastAsia="仿宋_GB2312" w:cs="宋体"/>
                <w:bCs/>
              </w:rPr>
              <w:t>实事</w:t>
            </w: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14</w:t>
            </w:r>
          </w:p>
        </w:tc>
        <w:tc>
          <w:tcPr>
            <w:tcW w:w="3647"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高标准农田建设29.89万亩</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高标准农田建设1万亩</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向  彪</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区农业农村局</w:t>
            </w:r>
          </w:p>
        </w:tc>
        <w:tc>
          <w:tcPr>
            <w:tcW w:w="1546" w:type="dxa"/>
            <w:noWrap w:val="0"/>
            <w:vAlign w:val="center"/>
          </w:tcPr>
          <w:p>
            <w:pPr>
              <w:jc w:val="center"/>
              <w:rPr>
                <w:rFonts w:hint="eastAsia" w:ascii="仿宋_GB2312" w:eastAsia="仿宋_GB2312"/>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15</w:t>
            </w:r>
          </w:p>
        </w:tc>
        <w:tc>
          <w:tcPr>
            <w:tcW w:w="3647" w:type="dxa"/>
            <w:gridSpan w:val="2"/>
            <w:vMerge w:val="restart"/>
            <w:noWrap w:val="0"/>
            <w:vAlign w:val="center"/>
          </w:tcPr>
          <w:p>
            <w:pPr>
              <w:snapToGrid w:val="0"/>
              <w:rPr>
                <w:rFonts w:hint="eastAsia" w:ascii="仿宋_GB2312" w:hAnsi="黑体" w:eastAsia="仿宋_GB2312" w:cs="黑体"/>
              </w:rPr>
            </w:pPr>
            <w:r>
              <w:rPr>
                <w:rFonts w:hint="eastAsia" w:ascii="仿宋_GB2312" w:hAnsi="黑体" w:eastAsia="仿宋_GB2312" w:cs="黑体"/>
              </w:rPr>
              <w:t>送文化下乡：“送戏下乡”演艺622场、全民阅读推广活动100场</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“送戏下乡”演艺20场</w:t>
            </w:r>
          </w:p>
        </w:tc>
        <w:tc>
          <w:tcPr>
            <w:tcW w:w="1038"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何  旭</w:t>
            </w:r>
          </w:p>
        </w:tc>
        <w:tc>
          <w:tcPr>
            <w:tcW w:w="1965" w:type="dxa"/>
            <w:vMerge w:val="restart"/>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区文旅广电局</w:t>
            </w:r>
          </w:p>
        </w:tc>
        <w:tc>
          <w:tcPr>
            <w:tcW w:w="1546" w:type="dxa"/>
            <w:vMerge w:val="restart"/>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0" w:type="auto"/>
            <w:vMerge w:val="continue"/>
            <w:noWrap w:val="0"/>
            <w:vAlign w:val="center"/>
          </w:tcPr>
          <w:p>
            <w:pPr>
              <w:widowControl/>
              <w:jc w:val="left"/>
              <w:rPr>
                <w:rFonts w:hint="eastAsia" w:ascii="仿宋_GB2312" w:hAnsi="黑体" w:eastAsia="仿宋_GB2312" w:cs="黑体"/>
              </w:rPr>
            </w:pPr>
          </w:p>
        </w:tc>
        <w:tc>
          <w:tcPr>
            <w:tcW w:w="0" w:type="auto"/>
            <w:gridSpan w:val="2"/>
            <w:vMerge w:val="continue"/>
            <w:noWrap w:val="0"/>
            <w:vAlign w:val="center"/>
          </w:tcPr>
          <w:p>
            <w:pPr>
              <w:widowControl/>
              <w:jc w:val="left"/>
              <w:rPr>
                <w:rFonts w:hint="eastAsia" w:ascii="仿宋_GB2312" w:hAnsi="黑体" w:eastAsia="仿宋_GB2312" w:cs="黑体"/>
              </w:rPr>
            </w:pP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全民阅读推广活动2场</w:t>
            </w:r>
          </w:p>
        </w:tc>
        <w:tc>
          <w:tcPr>
            <w:tcW w:w="1038" w:type="dxa"/>
            <w:vMerge w:val="continue"/>
            <w:noWrap w:val="0"/>
            <w:vAlign w:val="center"/>
          </w:tcPr>
          <w:p>
            <w:pPr>
              <w:widowControl/>
              <w:jc w:val="left"/>
              <w:rPr>
                <w:rFonts w:hint="eastAsia" w:ascii="仿宋_GB2312" w:hAnsi="黑体" w:eastAsia="仿宋_GB2312" w:cs="黑体"/>
              </w:rPr>
            </w:pPr>
          </w:p>
        </w:tc>
        <w:tc>
          <w:tcPr>
            <w:tcW w:w="1965" w:type="dxa"/>
            <w:vMerge w:val="continue"/>
            <w:noWrap w:val="0"/>
            <w:vAlign w:val="center"/>
          </w:tcPr>
          <w:p>
            <w:pPr>
              <w:widowControl/>
              <w:jc w:val="left"/>
              <w:rPr>
                <w:rFonts w:hint="eastAsia" w:ascii="仿宋_GB2312" w:hAnsi="黑体" w:eastAsia="仿宋_GB2312" w:cs="黑体"/>
              </w:rPr>
            </w:pPr>
          </w:p>
        </w:tc>
        <w:tc>
          <w:tcPr>
            <w:tcW w:w="1546" w:type="dxa"/>
            <w:vMerge w:val="continue"/>
            <w:noWrap w:val="0"/>
            <w:vAlign w:val="center"/>
          </w:tcPr>
          <w:p>
            <w:pPr>
              <w:widowControl/>
              <w:jc w:val="left"/>
              <w:rPr>
                <w:rFonts w:hint="eastAsia" w:ascii="仿宋_GB2312"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16</w:t>
            </w:r>
          </w:p>
        </w:tc>
        <w:tc>
          <w:tcPr>
            <w:tcW w:w="3647"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全市城乡电网提质改造</w:t>
            </w:r>
          </w:p>
        </w:tc>
        <w:tc>
          <w:tcPr>
            <w:tcW w:w="4172" w:type="dxa"/>
            <w:gridSpan w:val="2"/>
            <w:noWrap w:val="0"/>
            <w:vAlign w:val="center"/>
          </w:tcPr>
          <w:p>
            <w:pPr>
              <w:snapToGrid w:val="0"/>
              <w:rPr>
                <w:rFonts w:hint="eastAsia" w:ascii="仿宋_GB2312" w:hAnsi="黑体" w:eastAsia="仿宋_GB2312" w:cs="黑体"/>
              </w:rPr>
            </w:pPr>
            <w:r>
              <w:rPr>
                <w:rFonts w:hint="eastAsia" w:ascii="仿宋_GB2312" w:hAnsi="黑体" w:eastAsia="仿宋_GB2312" w:cs="黑体"/>
              </w:rPr>
              <w:t>投资金额1596万元</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供电分公司</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831" w:type="dxa"/>
            <w:vMerge w:val="restart"/>
            <w:noWrap w:val="0"/>
            <w:vAlign w:val="center"/>
          </w:tcPr>
          <w:p>
            <w:pPr>
              <w:snapToGrid w:val="0"/>
              <w:jc w:val="center"/>
              <w:rPr>
                <w:rFonts w:hint="eastAsia" w:ascii="仿宋_GB2312" w:hAnsi="宋体" w:eastAsia="仿宋_GB2312" w:cs="宋体"/>
                <w:bCs/>
              </w:rPr>
            </w:pPr>
            <w:r>
              <w:rPr>
                <w:rFonts w:hint="eastAsia" w:ascii="仿宋_GB2312" w:hAnsi="宋体" w:eastAsia="仿宋_GB2312" w:cs="宋体"/>
                <w:bCs/>
              </w:rPr>
              <w:t>区级</w:t>
            </w:r>
          </w:p>
          <w:p>
            <w:pPr>
              <w:snapToGrid w:val="0"/>
              <w:jc w:val="center"/>
              <w:rPr>
                <w:rFonts w:hint="eastAsia" w:ascii="仿宋_GB2312" w:hAnsi="宋体" w:eastAsia="仿宋_GB2312" w:cs="宋体"/>
                <w:bCs/>
              </w:rPr>
            </w:pPr>
            <w:r>
              <w:rPr>
                <w:rFonts w:hint="eastAsia" w:ascii="仿宋_GB2312" w:hAnsi="宋体" w:eastAsia="仿宋_GB2312" w:cs="宋体"/>
                <w:bCs/>
              </w:rPr>
              <w:t>民生</w:t>
            </w:r>
          </w:p>
          <w:p>
            <w:pPr>
              <w:snapToGrid w:val="0"/>
              <w:jc w:val="center"/>
              <w:rPr>
                <w:rFonts w:hint="eastAsia" w:ascii="仿宋_GB2312" w:hAnsi="宋体" w:eastAsia="仿宋_GB2312" w:cs="宋体"/>
                <w:bCs/>
              </w:rPr>
            </w:pPr>
            <w:r>
              <w:rPr>
                <w:rFonts w:hint="eastAsia" w:ascii="仿宋_GB2312" w:hAnsi="宋体" w:eastAsia="仿宋_GB2312" w:cs="宋体"/>
                <w:bCs/>
              </w:rPr>
              <w:t>实事</w:t>
            </w: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17</w:t>
            </w:r>
          </w:p>
        </w:tc>
        <w:tc>
          <w:tcPr>
            <w:tcW w:w="7819" w:type="dxa"/>
            <w:gridSpan w:val="4"/>
            <w:noWrap w:val="0"/>
            <w:vAlign w:val="center"/>
          </w:tcPr>
          <w:p>
            <w:pPr>
              <w:snapToGrid w:val="0"/>
              <w:rPr>
                <w:rFonts w:hint="eastAsia" w:ascii="仿宋_GB2312" w:hAnsi="黑体" w:eastAsia="仿宋_GB2312" w:cs="黑体"/>
              </w:rPr>
            </w:pPr>
            <w:r>
              <w:rPr>
                <w:rFonts w:hint="eastAsia" w:ascii="仿宋_GB2312" w:hAnsi="黑体" w:eastAsia="仿宋_GB2312" w:cs="黑体"/>
              </w:rPr>
              <w:t>启动陆城中学和陆城中心小学“一体化”建设</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区教体局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陆城镇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18</w:t>
            </w:r>
          </w:p>
        </w:tc>
        <w:tc>
          <w:tcPr>
            <w:tcW w:w="7819" w:type="dxa"/>
            <w:gridSpan w:val="4"/>
            <w:noWrap w:val="0"/>
            <w:vAlign w:val="center"/>
          </w:tcPr>
          <w:p>
            <w:pPr>
              <w:snapToGrid w:val="0"/>
              <w:rPr>
                <w:rFonts w:hint="eastAsia" w:ascii="仿宋_GB2312" w:hAnsi="黑体" w:eastAsia="仿宋_GB2312" w:cs="黑体"/>
              </w:rPr>
            </w:pPr>
            <w:r>
              <w:rPr>
                <w:rFonts w:hint="eastAsia" w:ascii="仿宋_GB2312" w:hAnsi="黑体" w:eastAsia="仿宋_GB2312" w:cs="黑体"/>
              </w:rPr>
              <w:t>发展银发经济，加强社区养老服务体系建设，新增社区老年助餐点2家，家庭养老床位315张</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余望新</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区民政局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19</w:t>
            </w:r>
          </w:p>
        </w:tc>
        <w:tc>
          <w:tcPr>
            <w:tcW w:w="7819" w:type="dxa"/>
            <w:gridSpan w:val="4"/>
            <w:noWrap w:val="0"/>
            <w:vAlign w:val="center"/>
          </w:tcPr>
          <w:p>
            <w:pPr>
              <w:snapToGrid w:val="0"/>
              <w:rPr>
                <w:rFonts w:hint="eastAsia" w:ascii="仿宋_GB2312" w:hAnsi="黑体" w:eastAsia="仿宋_GB2312" w:cs="黑体"/>
              </w:rPr>
            </w:pPr>
            <w:r>
              <w:rPr>
                <w:rFonts w:hint="eastAsia" w:ascii="仿宋_GB2312" w:hAnsi="黑体" w:eastAsia="仿宋_GB2312" w:cs="黑体"/>
              </w:rPr>
              <w:t>完成9.7公里S301路面大修（排贝桥至李家）、农村道路10公里“白改黑”，改造撇洪渠危桥1座</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杨建勤</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区公路建养中心</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20</w:t>
            </w:r>
          </w:p>
        </w:tc>
        <w:tc>
          <w:tcPr>
            <w:tcW w:w="7819" w:type="dxa"/>
            <w:gridSpan w:val="4"/>
            <w:noWrap w:val="0"/>
            <w:vAlign w:val="center"/>
          </w:tcPr>
          <w:p>
            <w:pPr>
              <w:snapToGrid w:val="0"/>
              <w:rPr>
                <w:rFonts w:hint="eastAsia" w:ascii="仿宋_GB2312" w:hAnsi="黑体" w:eastAsia="仿宋_GB2312" w:cs="黑体"/>
              </w:rPr>
            </w:pPr>
            <w:r>
              <w:rPr>
                <w:rFonts w:hint="eastAsia" w:ascii="仿宋_GB2312" w:hAnsi="黑体" w:eastAsia="仿宋_GB2312" w:cs="黑体"/>
              </w:rPr>
              <w:t>完成天然气入户600户</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廖新华</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区城管局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21</w:t>
            </w:r>
          </w:p>
        </w:tc>
        <w:tc>
          <w:tcPr>
            <w:tcW w:w="7819" w:type="dxa"/>
            <w:gridSpan w:val="4"/>
            <w:noWrap w:val="0"/>
            <w:vAlign w:val="center"/>
          </w:tcPr>
          <w:p>
            <w:pPr>
              <w:snapToGrid w:val="0"/>
              <w:rPr>
                <w:rFonts w:hint="eastAsia" w:ascii="仿宋_GB2312" w:hAnsi="黑体" w:eastAsia="仿宋_GB2312" w:cs="黑体"/>
              </w:rPr>
            </w:pPr>
            <w:r>
              <w:rPr>
                <w:rFonts w:hint="eastAsia" w:ascii="仿宋_GB2312" w:hAnsi="黑体" w:eastAsia="仿宋_GB2312" w:cs="黑体"/>
              </w:rPr>
              <w:t>完成900套公租房建设</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彭  伟</w:t>
            </w:r>
          </w:p>
          <w:p>
            <w:pPr>
              <w:snapToGrid w:val="0"/>
              <w:jc w:val="center"/>
              <w:rPr>
                <w:rFonts w:hint="eastAsia" w:ascii="仿宋_GB2312" w:hAnsi="黑体" w:eastAsia="仿宋_GB2312" w:cs="黑体"/>
              </w:rPr>
            </w:pPr>
            <w:r>
              <w:rPr>
                <w:rFonts w:hint="eastAsia" w:ascii="仿宋_GB2312" w:hAnsi="黑体" w:eastAsia="仿宋_GB2312" w:cs="黑体"/>
              </w:rPr>
              <w:t>廖新华</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区城发集团</w:t>
            </w:r>
          </w:p>
          <w:p>
            <w:pPr>
              <w:snapToGrid w:val="0"/>
              <w:jc w:val="center"/>
              <w:rPr>
                <w:rFonts w:hint="eastAsia" w:ascii="仿宋_GB2312" w:hAnsi="黑体" w:eastAsia="仿宋_GB2312" w:cs="黑体"/>
              </w:rPr>
            </w:pPr>
            <w:r>
              <w:rPr>
                <w:rFonts w:hint="eastAsia" w:ascii="仿宋_GB2312" w:hAnsi="黑体" w:eastAsia="仿宋_GB2312" w:cs="黑体"/>
              </w:rPr>
              <w:t>区住建局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hAnsi="黑体" w:eastAsia="仿宋_GB2312" w:cs="黑体"/>
              </w:rPr>
              <w:t>相关</w:t>
            </w:r>
            <w:r>
              <w:rPr>
                <w:rFonts w:hint="eastAsia" w:ascii="仿宋_GB2312" w:eastAsia="仿宋_GB2312" w:cs="黑体"/>
                <w:color w:val="000000"/>
              </w:rPr>
              <w:t>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0" w:type="auto"/>
            <w:vMerge w:val="continue"/>
            <w:noWrap w:val="0"/>
            <w:vAlign w:val="center"/>
          </w:tcPr>
          <w:p>
            <w:pPr>
              <w:widowControl/>
              <w:jc w:val="left"/>
              <w:rPr>
                <w:rFonts w:hint="eastAsia" w:ascii="仿宋_GB2312" w:hAnsi="宋体" w:eastAsia="仿宋_GB2312" w:cs="宋体"/>
                <w:bCs/>
              </w:rPr>
            </w:pPr>
          </w:p>
        </w:tc>
        <w:tc>
          <w:tcPr>
            <w:tcW w:w="710"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22</w:t>
            </w:r>
          </w:p>
        </w:tc>
        <w:tc>
          <w:tcPr>
            <w:tcW w:w="7819" w:type="dxa"/>
            <w:gridSpan w:val="4"/>
            <w:noWrap w:val="0"/>
            <w:vAlign w:val="center"/>
          </w:tcPr>
          <w:p>
            <w:pPr>
              <w:snapToGrid w:val="0"/>
              <w:rPr>
                <w:rFonts w:hint="eastAsia" w:ascii="仿宋_GB2312" w:hAnsi="黑体" w:eastAsia="仿宋_GB2312" w:cs="黑体"/>
              </w:rPr>
            </w:pPr>
            <w:r>
              <w:rPr>
                <w:rFonts w:hint="eastAsia" w:ascii="仿宋_GB2312" w:hAnsi="黑体" w:eastAsia="仿宋_GB2312" w:cs="黑体"/>
              </w:rPr>
              <w:t>完成平安城市“雪亮工程”（二期）升级改造</w:t>
            </w:r>
          </w:p>
        </w:tc>
        <w:tc>
          <w:tcPr>
            <w:tcW w:w="1038"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夏立海</w:t>
            </w:r>
          </w:p>
        </w:tc>
        <w:tc>
          <w:tcPr>
            <w:tcW w:w="1965" w:type="dxa"/>
            <w:noWrap w:val="0"/>
            <w:vAlign w:val="center"/>
          </w:tcPr>
          <w:p>
            <w:pPr>
              <w:snapToGrid w:val="0"/>
              <w:jc w:val="center"/>
              <w:rPr>
                <w:rFonts w:hint="eastAsia" w:ascii="仿宋_GB2312" w:hAnsi="黑体" w:eastAsia="仿宋_GB2312" w:cs="黑体"/>
              </w:rPr>
            </w:pPr>
            <w:r>
              <w:rPr>
                <w:rFonts w:hint="eastAsia" w:ascii="仿宋_GB2312" w:hAnsi="黑体" w:eastAsia="仿宋_GB2312" w:cs="黑体"/>
              </w:rPr>
              <w:t>公安分局</w:t>
            </w:r>
          </w:p>
        </w:tc>
        <w:tc>
          <w:tcPr>
            <w:tcW w:w="1546" w:type="dxa"/>
            <w:noWrap w:val="0"/>
            <w:vAlign w:val="center"/>
          </w:tcPr>
          <w:p>
            <w:pPr>
              <w:snapToGrid w:val="0"/>
              <w:jc w:val="center"/>
              <w:rPr>
                <w:rFonts w:hint="eastAsia" w:ascii="仿宋_GB2312" w:eastAsia="仿宋_GB2312" w:cs="黑体"/>
                <w:color w:val="000000"/>
              </w:rPr>
            </w:pPr>
            <w:r>
              <w:rPr>
                <w:rFonts w:hint="eastAsia" w:ascii="仿宋_GB2312" w:eastAsia="仿宋_GB2312" w:cs="黑体"/>
                <w:color w:val="000000"/>
              </w:rPr>
              <w:t>相关单位</w:t>
            </w:r>
          </w:p>
        </w:tc>
      </w:tr>
    </w:tbl>
    <w:p>
      <w:pPr>
        <w:snapToGrid w:val="0"/>
        <w:spacing w:before="156" w:beforeLines="50"/>
        <w:ind w:firstLine="240" w:firstLineChars="100"/>
        <w:sectPr>
          <w:pgSz w:w="16838" w:h="11906" w:orient="landscape"/>
          <w:pgMar w:top="1531" w:right="1531" w:bottom="1531" w:left="1531" w:header="851" w:footer="1247" w:gutter="0"/>
          <w:cols w:space="720" w:num="1"/>
          <w:titlePg/>
          <w:docGrid w:type="lines" w:linePitch="312" w:charSpace="0"/>
        </w:sectPr>
      </w:pPr>
      <w:r>
        <w:rPr>
          <w:rFonts w:hint="eastAsia" w:ascii="仿宋_GB2312" w:eastAsia="仿宋_GB2312"/>
          <w:sz w:val="24"/>
          <w:szCs w:val="24"/>
        </w:rPr>
        <w:t>注：1-10项为省级重点民生实事，11-16项为市级重点民生实事，17-22项为区级民生实事。</w:t>
      </w:r>
    </w:p>
    <w:p/>
    <w:sectPr>
      <w:footerReference r:id="rId16" w:type="default"/>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
    <w:altName w:val="方正全福体"/>
    <w:panose1 w:val="00000000000000000000"/>
    <w:charset w:val="00"/>
    <w:family w:val="auto"/>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ascii="宋体" w:hAnsi="宋体"/>
        <w:sz w:val="28"/>
        <w:szCs w:val="28"/>
      </w:rPr>
      <w:t>—</w:t>
    </w: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8</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rPr>
        <w:rFonts w:ascii="宋体" w:hAnsi="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8</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仿宋" w:hAnsi="仿宋" w:eastAsia="仿宋" w:cs="仿宋"/>
        <w:sz w:val="32"/>
        <w:szCs w:val="48"/>
      </w:rPr>
      <w:t xml:space="preserve">— </w:t>
    </w:r>
    <w:r>
      <w:rPr>
        <w:rFonts w:hint="eastAsia" w:ascii="仿宋" w:hAnsi="仿宋" w:eastAsia="仿宋" w:cs="仿宋"/>
        <w:sz w:val="32"/>
        <w:szCs w:val="48"/>
      </w:rPr>
      <w:fldChar w:fldCharType="begin"/>
    </w:r>
    <w:r>
      <w:rPr>
        <w:rFonts w:hint="eastAsia" w:ascii="仿宋" w:hAnsi="仿宋" w:eastAsia="仿宋" w:cs="仿宋"/>
        <w:sz w:val="32"/>
        <w:szCs w:val="48"/>
      </w:rPr>
      <w:instrText xml:space="preserve"> PAGE  \* MERGEFORMAT </w:instrText>
    </w:r>
    <w:r>
      <w:rPr>
        <w:rFonts w:hint="eastAsia" w:ascii="仿宋" w:hAnsi="仿宋" w:eastAsia="仿宋" w:cs="仿宋"/>
        <w:sz w:val="32"/>
        <w:szCs w:val="48"/>
      </w:rPr>
      <w:fldChar w:fldCharType="separate"/>
    </w:r>
    <w:r>
      <w:rPr>
        <w:rFonts w:hint="eastAsia" w:ascii="仿宋" w:hAnsi="仿宋" w:eastAsia="仿宋" w:cs="仿宋"/>
        <w:sz w:val="32"/>
        <w:szCs w:val="48"/>
      </w:rPr>
      <w:t>1</w:t>
    </w:r>
    <w:r>
      <w:rPr>
        <w:rFonts w:hint="eastAsia" w:ascii="仿宋" w:hAnsi="仿宋" w:eastAsia="仿宋" w:cs="仿宋"/>
        <w:sz w:val="32"/>
        <w:szCs w:val="48"/>
      </w:rPr>
      <w:fldChar w:fldCharType="end"/>
    </w:r>
    <w:r>
      <w:rPr>
        <w:rFonts w:hint="eastAsia" w:ascii="仿宋" w:hAnsi="仿宋" w:eastAsia="仿宋" w:cs="仿宋"/>
        <w:sz w:val="32"/>
        <w:szCs w:val="4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28</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30</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ascii="宋体" w:hAnsi="宋体"/>
        <w:sz w:val="28"/>
        <w:szCs w:val="28"/>
      </w:rPr>
      <w:t>—</w:t>
    </w: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8</w:t>
    </w:r>
    <w:r>
      <w:rPr>
        <w:rStyle w:val="9"/>
        <w:rFonts w:ascii="宋体" w:hAnsi="宋体"/>
        <w:sz w:val="28"/>
        <w:szCs w:val="28"/>
      </w:rPr>
      <w:fldChar w:fldCharType="end"/>
    </w:r>
    <w:r>
      <w:rPr>
        <w:rStyle w:val="9"/>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624BB"/>
    <w:multiLevelType w:val="multilevel"/>
    <w:tmpl w:val="626624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OGNmNGRiZDQzYjdmYTQwYTJjYWY2ZGY5YTU3YmEifQ=="/>
  </w:docVars>
  <w:rsids>
    <w:rsidRoot w:val="3677325D"/>
    <w:rsid w:val="353F0E58"/>
    <w:rsid w:val="3677325D"/>
    <w:rsid w:val="44A0243D"/>
    <w:rsid w:val="5413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ascii="Arial" w:hAnsi="Arial"/>
      <w:color w:val="333333"/>
      <w:kern w:val="0"/>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cs="Times New Roman"/>
      <w:b/>
    </w:rPr>
  </w:style>
  <w:style w:type="character" w:styleId="9">
    <w:name w:val="page number"/>
    <w:basedOn w:val="7"/>
    <w:qFormat/>
    <w:uiPriority w:val="0"/>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List Paragraph"/>
    <w:basedOn w:val="1"/>
    <w:semiHidden/>
    <w:qFormat/>
    <w:uiPriority w:val="0"/>
    <w:pPr>
      <w:ind w:firstLine="420" w:firstLineChars="200"/>
    </w:pPr>
  </w:style>
  <w:style w:type="paragraph" w:customStyle="1" w:styleId="12">
    <w:name w:val="表格"/>
    <w:basedOn w:val="1"/>
    <w:qFormat/>
    <w:uiPriority w:val="0"/>
    <w:pPr>
      <w:spacing w:line="400" w:lineRule="exact"/>
      <w:jc w:val="center"/>
    </w:pPr>
    <w:rPr>
      <w:sz w:val="28"/>
      <w:szCs w:val="24"/>
    </w:rPr>
  </w:style>
  <w:style w:type="paragraph" w:customStyle="1" w:styleId="13">
    <w:name w:val="样式 正文 首行缩进:  2 字符"/>
    <w:basedOn w:val="1"/>
    <w:uiPriority w:val="0"/>
    <w:pPr>
      <w:ind w:firstLine="518" w:firstLineChars="200"/>
    </w:pPr>
    <w:rPr>
      <w:rFonts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2025-06-30T02:07:00Z</dcterms:created>
  <dc:creator>许娜</dc:creator>
  <cp:lastModifiedBy>许娜</cp:lastModifiedBy>
  <dcterms:modified xsi:type="dcterms:W3CDTF">2025-06-30T07:04:31Z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4E2EE2DADF674F0FA1FE7C8189CCD8E8_11</vt:lpwstr>
  </property>
</Properties>
</file>