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F2F85">
      <w:pPr>
        <w:bidi w:val="0"/>
        <w:outlineLvl w:val="9"/>
        <w:rPr>
          <w:rFonts w:hint="eastAsia" w:ascii="宋体" w:hAnsi="宋体" w:eastAsia="宋体" w:cs="宋体"/>
          <w:lang w:val="en-US" w:eastAsia="zh-CN"/>
        </w:rPr>
      </w:pPr>
      <w:r>
        <w:rPr>
          <w:rFonts w:hint="eastAsia" w:ascii="宋体" w:hAnsi="宋体" w:eastAsia="宋体" w:cs="宋体"/>
          <w:lang w:val="en-US" w:eastAsia="zh-CN"/>
        </w:rPr>
        <w:t>附件2</w:t>
      </w:r>
    </w:p>
    <w:p w14:paraId="2A2289E5">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560" w:lineRule="exact"/>
        <w:ind w:left="91"/>
        <w:jc w:val="center"/>
        <w:textAlignment w:val="auto"/>
        <w:outlineLvl w:val="0"/>
        <w:rPr>
          <w:rFonts w:hint="eastAsia" w:ascii="黑体" w:hAnsi="黑体" w:eastAsia="黑体" w:cs="黑体"/>
          <w:color w:val="000000"/>
          <w:kern w:val="0"/>
          <w:sz w:val="36"/>
          <w:szCs w:val="36"/>
          <w:lang w:val="en-US" w:eastAsia="zh-CN"/>
        </w:rPr>
      </w:pPr>
      <w:bookmarkStart w:id="0" w:name="_GoBack"/>
      <w:bookmarkEnd w:id="0"/>
      <w:r>
        <w:rPr>
          <w:rFonts w:hint="eastAsia" w:ascii="黑体" w:hAnsi="黑体" w:eastAsia="黑体" w:cs="黑体"/>
          <w:color w:val="000000"/>
          <w:kern w:val="0"/>
          <w:sz w:val="36"/>
          <w:szCs w:val="36"/>
          <w:lang w:val="en-US" w:eastAsia="zh-CN"/>
        </w:rPr>
        <w:t>部门整体支出绩效评价基础数据表</w:t>
      </w:r>
    </w:p>
    <w:p w14:paraId="7322D1F4">
      <w:pPr>
        <w:widowControl/>
        <w:tabs>
          <w:tab w:val="left" w:pos="3611"/>
          <w:tab w:val="left" w:pos="4791"/>
          <w:tab w:val="left" w:pos="5951"/>
          <w:tab w:val="left" w:pos="7071"/>
          <w:tab w:val="left" w:pos="8191"/>
          <w:tab w:val="left" w:pos="9311"/>
        </w:tabs>
        <w:ind w:left="91"/>
        <w:jc w:val="left"/>
        <w:rPr>
          <w:rFonts w:hint="eastAsia" w:eastAsia="仿宋_GB2312"/>
          <w:kern w:val="0"/>
          <w:sz w:val="24"/>
          <w:lang w:val="en-US" w:eastAsia="zh-CN"/>
        </w:rPr>
      </w:pPr>
      <w:r>
        <w:rPr>
          <w:rFonts w:hint="eastAsia" w:ascii="宋体" w:hAnsi="宋体" w:eastAsia="宋体" w:cs="宋体"/>
          <w:kern w:val="0"/>
          <w:sz w:val="20"/>
          <w:szCs w:val="20"/>
          <w:lang w:val="en-US" w:eastAsia="zh-CN"/>
        </w:rPr>
        <w:t>填报单位：</w:t>
      </w:r>
      <w:r>
        <w:rPr>
          <w:rFonts w:hint="eastAsia" w:ascii="宋体" w:hAnsi="宋体" w:cs="宋体"/>
          <w:kern w:val="0"/>
          <w:sz w:val="20"/>
          <w:szCs w:val="20"/>
          <w:lang w:val="en-US" w:eastAsia="zh-CN"/>
        </w:rPr>
        <w:t>中共岳阳市云溪区委巡察工作领导小组办公室</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4"/>
          <w:lang w:val="en-US" w:eastAsia="zh-CN"/>
        </w:rPr>
        <w:t xml:space="preserve">  </w:t>
      </w:r>
      <w:r>
        <w:rPr>
          <w:rFonts w:hint="eastAsia" w:eastAsia="仿宋_GB2312"/>
          <w:kern w:val="0"/>
          <w:sz w:val="24"/>
          <w:lang w:val="en-US" w:eastAsia="zh-CN"/>
        </w:rPr>
        <w:t xml:space="preserve">                              </w:t>
      </w:r>
    </w:p>
    <w:tbl>
      <w:tblPr>
        <w:tblStyle w:val="8"/>
        <w:tblW w:w="5425" w:type="pct"/>
        <w:tblInd w:w="-3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226"/>
        <w:gridCol w:w="792"/>
        <w:gridCol w:w="1222"/>
        <w:gridCol w:w="925"/>
        <w:gridCol w:w="1325"/>
        <w:gridCol w:w="976"/>
        <w:gridCol w:w="1241"/>
      </w:tblGrid>
      <w:tr w14:paraId="0D272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8" w:hRule="atLeast"/>
        </w:trPr>
        <w:tc>
          <w:tcPr>
            <w:tcW w:w="1661" w:type="pct"/>
            <w:vMerge w:val="restart"/>
            <w:tcBorders>
              <w:tl2br w:val="nil"/>
              <w:tr2bl w:val="nil"/>
            </w:tcBorders>
            <w:shd w:val="clear" w:color="auto" w:fill="auto"/>
            <w:noWrap/>
            <w:vAlign w:val="center"/>
          </w:tcPr>
          <w:p w14:paraId="6774B52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财政供养人员情况</w:t>
            </w:r>
          </w:p>
        </w:tc>
        <w:tc>
          <w:tcPr>
            <w:tcW w:w="1037" w:type="pct"/>
            <w:gridSpan w:val="2"/>
            <w:tcBorders>
              <w:tl2br w:val="nil"/>
              <w:tr2bl w:val="nil"/>
            </w:tcBorders>
            <w:shd w:val="clear" w:color="auto" w:fill="auto"/>
            <w:noWrap/>
            <w:vAlign w:val="center"/>
          </w:tcPr>
          <w:p w14:paraId="77F27E9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编制数</w:t>
            </w:r>
          </w:p>
        </w:tc>
        <w:tc>
          <w:tcPr>
            <w:tcW w:w="1158" w:type="pct"/>
            <w:gridSpan w:val="2"/>
            <w:tcBorders>
              <w:tl2br w:val="nil"/>
              <w:tr2bl w:val="nil"/>
            </w:tcBorders>
            <w:shd w:val="clear" w:color="auto" w:fill="auto"/>
            <w:noWrap/>
            <w:vAlign w:val="center"/>
          </w:tcPr>
          <w:p w14:paraId="515EF57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2024实际在职人数</w:t>
            </w:r>
          </w:p>
        </w:tc>
        <w:tc>
          <w:tcPr>
            <w:tcW w:w="1141" w:type="pct"/>
            <w:gridSpan w:val="2"/>
            <w:tcBorders>
              <w:tl2br w:val="nil"/>
              <w:tr2bl w:val="nil"/>
            </w:tcBorders>
            <w:shd w:val="clear" w:color="auto" w:fill="auto"/>
            <w:noWrap/>
            <w:vAlign w:val="center"/>
          </w:tcPr>
          <w:p w14:paraId="3CF00B7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控制率</w:t>
            </w:r>
          </w:p>
        </w:tc>
      </w:tr>
      <w:tr w14:paraId="29087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4" w:hRule="atLeast"/>
        </w:trPr>
        <w:tc>
          <w:tcPr>
            <w:tcW w:w="1661" w:type="pct"/>
            <w:vMerge w:val="continue"/>
            <w:tcBorders>
              <w:tl2br w:val="nil"/>
              <w:tr2bl w:val="nil"/>
            </w:tcBorders>
            <w:shd w:val="clear" w:color="auto" w:fill="auto"/>
            <w:noWrap/>
            <w:vAlign w:val="center"/>
          </w:tcPr>
          <w:p w14:paraId="02FEFBB2">
            <w:pPr>
              <w:jc w:val="center"/>
              <w:rPr>
                <w:rFonts w:hint="eastAsia" w:ascii="宋体" w:hAnsi="宋体" w:eastAsia="宋体" w:cs="宋体"/>
                <w:b/>
                <w:bCs/>
                <w:i w:val="0"/>
                <w:iCs w:val="0"/>
                <w:color w:val="000000"/>
                <w:sz w:val="20"/>
                <w:szCs w:val="20"/>
                <w:u w:val="none"/>
              </w:rPr>
            </w:pPr>
          </w:p>
        </w:tc>
        <w:tc>
          <w:tcPr>
            <w:tcW w:w="2014" w:type="dxa"/>
            <w:gridSpan w:val="2"/>
            <w:tcBorders>
              <w:tl2br w:val="nil"/>
              <w:tr2bl w:val="nil"/>
            </w:tcBorders>
            <w:shd w:val="clear" w:color="auto" w:fill="auto"/>
            <w:noWrap/>
            <w:vAlign w:val="center"/>
          </w:tcPr>
          <w:p w14:paraId="37E13751">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p>
        </w:tc>
        <w:tc>
          <w:tcPr>
            <w:tcW w:w="2250" w:type="dxa"/>
            <w:gridSpan w:val="2"/>
            <w:tcBorders>
              <w:tl2br w:val="nil"/>
              <w:tr2bl w:val="nil"/>
            </w:tcBorders>
            <w:shd w:val="clear" w:color="auto" w:fill="auto"/>
            <w:noWrap/>
            <w:vAlign w:val="center"/>
          </w:tcPr>
          <w:p w14:paraId="4E4431C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p>
        </w:tc>
        <w:tc>
          <w:tcPr>
            <w:tcW w:w="2217" w:type="dxa"/>
            <w:gridSpan w:val="2"/>
            <w:tcBorders>
              <w:tl2br w:val="nil"/>
              <w:tr2bl w:val="nil"/>
            </w:tcBorders>
            <w:shd w:val="clear" w:color="auto" w:fill="auto"/>
            <w:noWrap/>
            <w:vAlign w:val="center"/>
          </w:tcPr>
          <w:p w14:paraId="7E7F5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14:paraId="63741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6" w:hRule="atLeast"/>
        </w:trPr>
        <w:tc>
          <w:tcPr>
            <w:tcW w:w="1661" w:type="pct"/>
            <w:tcBorders>
              <w:tl2br w:val="nil"/>
              <w:tr2bl w:val="nil"/>
            </w:tcBorders>
            <w:shd w:val="clear" w:color="auto" w:fill="auto"/>
            <w:noWrap/>
            <w:vAlign w:val="center"/>
          </w:tcPr>
          <w:p w14:paraId="3229DAE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经费控制情况(万元)</w:t>
            </w:r>
          </w:p>
        </w:tc>
        <w:tc>
          <w:tcPr>
            <w:tcW w:w="1037" w:type="pct"/>
            <w:gridSpan w:val="2"/>
            <w:tcBorders>
              <w:tl2br w:val="nil"/>
              <w:tr2bl w:val="nil"/>
            </w:tcBorders>
            <w:shd w:val="clear" w:color="auto" w:fill="auto"/>
            <w:noWrap/>
            <w:vAlign w:val="center"/>
          </w:tcPr>
          <w:p w14:paraId="539415A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2023年决算数</w:t>
            </w:r>
          </w:p>
        </w:tc>
        <w:tc>
          <w:tcPr>
            <w:tcW w:w="1158" w:type="pct"/>
            <w:gridSpan w:val="2"/>
            <w:tcBorders>
              <w:tl2br w:val="nil"/>
              <w:tr2bl w:val="nil"/>
            </w:tcBorders>
            <w:shd w:val="clear" w:color="auto" w:fill="auto"/>
            <w:noWrap/>
            <w:vAlign w:val="center"/>
          </w:tcPr>
          <w:p w14:paraId="4532D4E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2024预算数</w:t>
            </w:r>
          </w:p>
        </w:tc>
        <w:tc>
          <w:tcPr>
            <w:tcW w:w="1141" w:type="pct"/>
            <w:gridSpan w:val="2"/>
            <w:tcBorders>
              <w:tl2br w:val="nil"/>
              <w:tr2bl w:val="nil"/>
            </w:tcBorders>
            <w:shd w:val="clear" w:color="auto" w:fill="auto"/>
            <w:noWrap/>
            <w:vAlign w:val="center"/>
          </w:tcPr>
          <w:p w14:paraId="682D815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2024决算数</w:t>
            </w:r>
          </w:p>
        </w:tc>
      </w:tr>
      <w:tr w14:paraId="43ABE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66855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三公经费</w:t>
            </w:r>
          </w:p>
        </w:tc>
        <w:tc>
          <w:tcPr>
            <w:tcW w:w="2014" w:type="dxa"/>
            <w:gridSpan w:val="2"/>
            <w:tcBorders>
              <w:tl2br w:val="nil"/>
              <w:tr2bl w:val="nil"/>
            </w:tcBorders>
            <w:shd w:val="clear" w:color="auto" w:fill="auto"/>
            <w:noWrap/>
            <w:vAlign w:val="center"/>
          </w:tcPr>
          <w:p w14:paraId="1C85B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0.43</w:t>
            </w:r>
          </w:p>
        </w:tc>
        <w:tc>
          <w:tcPr>
            <w:tcW w:w="2250" w:type="dxa"/>
            <w:gridSpan w:val="2"/>
            <w:tcBorders>
              <w:tl2br w:val="nil"/>
              <w:tr2bl w:val="nil"/>
            </w:tcBorders>
            <w:shd w:val="clear" w:color="auto" w:fill="auto"/>
            <w:noWrap/>
            <w:vAlign w:val="center"/>
          </w:tcPr>
          <w:p w14:paraId="1368D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17" w:type="dxa"/>
            <w:gridSpan w:val="2"/>
            <w:tcBorders>
              <w:tl2br w:val="nil"/>
              <w:tr2bl w:val="nil"/>
            </w:tcBorders>
            <w:shd w:val="clear" w:color="auto" w:fill="auto"/>
            <w:noWrap/>
            <w:vAlign w:val="center"/>
          </w:tcPr>
          <w:p w14:paraId="5404D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0.39</w:t>
            </w:r>
          </w:p>
        </w:tc>
      </w:tr>
      <w:tr w14:paraId="35944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18EF8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1、公务用车购置和维护经费</w:t>
            </w:r>
          </w:p>
        </w:tc>
        <w:tc>
          <w:tcPr>
            <w:tcW w:w="1037" w:type="pct"/>
            <w:gridSpan w:val="2"/>
            <w:tcBorders>
              <w:tl2br w:val="nil"/>
              <w:tr2bl w:val="nil"/>
            </w:tcBorders>
            <w:shd w:val="clear" w:color="auto" w:fill="auto"/>
            <w:noWrap/>
            <w:vAlign w:val="center"/>
          </w:tcPr>
          <w:p w14:paraId="12876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8" w:type="pct"/>
            <w:gridSpan w:val="2"/>
            <w:tcBorders>
              <w:tl2br w:val="nil"/>
              <w:tr2bl w:val="nil"/>
            </w:tcBorders>
            <w:shd w:val="clear" w:color="auto" w:fill="auto"/>
            <w:noWrap/>
            <w:vAlign w:val="center"/>
          </w:tcPr>
          <w:p w14:paraId="1A7B1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1" w:type="pct"/>
            <w:gridSpan w:val="2"/>
            <w:tcBorders>
              <w:tl2br w:val="nil"/>
              <w:tr2bl w:val="nil"/>
            </w:tcBorders>
            <w:shd w:val="clear" w:color="auto" w:fill="auto"/>
            <w:noWrap/>
            <w:vAlign w:val="center"/>
          </w:tcPr>
          <w:p w14:paraId="22C7E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C5EB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5B9B3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其中：公车购置</w:t>
            </w:r>
          </w:p>
        </w:tc>
        <w:tc>
          <w:tcPr>
            <w:tcW w:w="1037" w:type="pct"/>
            <w:gridSpan w:val="2"/>
            <w:tcBorders>
              <w:tl2br w:val="nil"/>
              <w:tr2bl w:val="nil"/>
            </w:tcBorders>
            <w:shd w:val="clear" w:color="auto" w:fill="auto"/>
            <w:noWrap/>
            <w:vAlign w:val="center"/>
          </w:tcPr>
          <w:p w14:paraId="628AD5FF">
            <w:pPr>
              <w:jc w:val="center"/>
              <w:rPr>
                <w:rFonts w:hint="eastAsia" w:ascii="宋体" w:hAnsi="宋体" w:eastAsia="宋体" w:cs="宋体"/>
                <w:i w:val="0"/>
                <w:iCs w:val="0"/>
                <w:color w:val="000000"/>
                <w:sz w:val="20"/>
                <w:szCs w:val="20"/>
                <w:u w:val="none"/>
              </w:rPr>
            </w:pPr>
          </w:p>
        </w:tc>
        <w:tc>
          <w:tcPr>
            <w:tcW w:w="1158" w:type="pct"/>
            <w:gridSpan w:val="2"/>
            <w:tcBorders>
              <w:tl2br w:val="nil"/>
              <w:tr2bl w:val="nil"/>
            </w:tcBorders>
            <w:shd w:val="clear" w:color="auto" w:fill="auto"/>
            <w:noWrap/>
            <w:vAlign w:val="center"/>
          </w:tcPr>
          <w:p w14:paraId="178CF643">
            <w:pPr>
              <w:jc w:val="center"/>
              <w:rPr>
                <w:rFonts w:hint="eastAsia" w:ascii="宋体" w:hAnsi="宋体" w:eastAsia="宋体" w:cs="宋体"/>
                <w:i w:val="0"/>
                <w:iCs w:val="0"/>
                <w:color w:val="000000"/>
                <w:sz w:val="20"/>
                <w:szCs w:val="20"/>
                <w:u w:val="none"/>
              </w:rPr>
            </w:pPr>
          </w:p>
        </w:tc>
        <w:tc>
          <w:tcPr>
            <w:tcW w:w="1141" w:type="pct"/>
            <w:gridSpan w:val="2"/>
            <w:tcBorders>
              <w:tl2br w:val="nil"/>
              <w:tr2bl w:val="nil"/>
            </w:tcBorders>
            <w:shd w:val="clear" w:color="auto" w:fill="auto"/>
            <w:noWrap/>
            <w:vAlign w:val="center"/>
          </w:tcPr>
          <w:p w14:paraId="06E55E3C">
            <w:pPr>
              <w:jc w:val="center"/>
              <w:rPr>
                <w:rFonts w:hint="eastAsia" w:ascii="宋体" w:hAnsi="宋体" w:eastAsia="宋体" w:cs="宋体"/>
                <w:i w:val="0"/>
                <w:iCs w:val="0"/>
                <w:color w:val="000000"/>
                <w:sz w:val="20"/>
                <w:szCs w:val="20"/>
                <w:u w:val="none"/>
              </w:rPr>
            </w:pPr>
          </w:p>
        </w:tc>
      </w:tr>
      <w:tr w14:paraId="4678C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74EFB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公车运行维护</w:t>
            </w:r>
          </w:p>
        </w:tc>
        <w:tc>
          <w:tcPr>
            <w:tcW w:w="1037" w:type="pct"/>
            <w:gridSpan w:val="2"/>
            <w:tcBorders>
              <w:tl2br w:val="nil"/>
              <w:tr2bl w:val="nil"/>
            </w:tcBorders>
            <w:shd w:val="clear" w:color="auto" w:fill="auto"/>
            <w:noWrap/>
            <w:vAlign w:val="center"/>
          </w:tcPr>
          <w:p w14:paraId="5FE7B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8" w:type="pct"/>
            <w:gridSpan w:val="2"/>
            <w:tcBorders>
              <w:tl2br w:val="nil"/>
              <w:tr2bl w:val="nil"/>
            </w:tcBorders>
            <w:shd w:val="clear" w:color="auto" w:fill="auto"/>
            <w:noWrap/>
            <w:vAlign w:val="center"/>
          </w:tcPr>
          <w:p w14:paraId="1FA842B4">
            <w:pPr>
              <w:jc w:val="center"/>
              <w:rPr>
                <w:rFonts w:hint="eastAsia" w:ascii="宋体" w:hAnsi="宋体" w:eastAsia="宋体" w:cs="宋体"/>
                <w:i w:val="0"/>
                <w:iCs w:val="0"/>
                <w:color w:val="000000"/>
                <w:sz w:val="20"/>
                <w:szCs w:val="20"/>
                <w:u w:val="none"/>
              </w:rPr>
            </w:pPr>
          </w:p>
        </w:tc>
        <w:tc>
          <w:tcPr>
            <w:tcW w:w="1141" w:type="pct"/>
            <w:gridSpan w:val="2"/>
            <w:tcBorders>
              <w:tl2br w:val="nil"/>
              <w:tr2bl w:val="nil"/>
            </w:tcBorders>
            <w:shd w:val="clear" w:color="auto" w:fill="auto"/>
            <w:noWrap/>
            <w:vAlign w:val="center"/>
          </w:tcPr>
          <w:p w14:paraId="54381E37">
            <w:pPr>
              <w:jc w:val="center"/>
              <w:rPr>
                <w:rFonts w:hint="eastAsia" w:ascii="宋体" w:hAnsi="宋体" w:eastAsia="宋体" w:cs="宋体"/>
                <w:i w:val="0"/>
                <w:iCs w:val="0"/>
                <w:color w:val="000000"/>
                <w:sz w:val="20"/>
                <w:szCs w:val="20"/>
                <w:u w:val="none"/>
              </w:rPr>
            </w:pPr>
          </w:p>
        </w:tc>
      </w:tr>
      <w:tr w14:paraId="00A50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33673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2、出国经费</w:t>
            </w:r>
          </w:p>
        </w:tc>
        <w:tc>
          <w:tcPr>
            <w:tcW w:w="1037" w:type="pct"/>
            <w:gridSpan w:val="2"/>
            <w:tcBorders>
              <w:tl2br w:val="nil"/>
              <w:tr2bl w:val="nil"/>
            </w:tcBorders>
            <w:shd w:val="clear" w:color="auto" w:fill="auto"/>
            <w:noWrap/>
            <w:vAlign w:val="center"/>
          </w:tcPr>
          <w:p w14:paraId="35369E4D">
            <w:pPr>
              <w:jc w:val="center"/>
              <w:rPr>
                <w:rFonts w:hint="eastAsia" w:ascii="宋体" w:hAnsi="宋体" w:eastAsia="宋体" w:cs="宋体"/>
                <w:i w:val="0"/>
                <w:iCs w:val="0"/>
                <w:color w:val="000000"/>
                <w:sz w:val="20"/>
                <w:szCs w:val="20"/>
                <w:u w:val="none"/>
              </w:rPr>
            </w:pPr>
          </w:p>
        </w:tc>
        <w:tc>
          <w:tcPr>
            <w:tcW w:w="1158" w:type="pct"/>
            <w:gridSpan w:val="2"/>
            <w:tcBorders>
              <w:tl2br w:val="nil"/>
              <w:tr2bl w:val="nil"/>
            </w:tcBorders>
            <w:shd w:val="clear" w:color="auto" w:fill="auto"/>
            <w:noWrap/>
            <w:vAlign w:val="center"/>
          </w:tcPr>
          <w:p w14:paraId="68FBD511">
            <w:pPr>
              <w:jc w:val="center"/>
              <w:rPr>
                <w:rFonts w:hint="eastAsia" w:ascii="宋体" w:hAnsi="宋体" w:eastAsia="宋体" w:cs="宋体"/>
                <w:i w:val="0"/>
                <w:iCs w:val="0"/>
                <w:color w:val="000000"/>
                <w:sz w:val="20"/>
                <w:szCs w:val="20"/>
                <w:u w:val="none"/>
              </w:rPr>
            </w:pPr>
          </w:p>
        </w:tc>
        <w:tc>
          <w:tcPr>
            <w:tcW w:w="1141" w:type="pct"/>
            <w:gridSpan w:val="2"/>
            <w:tcBorders>
              <w:tl2br w:val="nil"/>
              <w:tr2bl w:val="nil"/>
            </w:tcBorders>
            <w:shd w:val="clear" w:color="auto" w:fill="auto"/>
            <w:noWrap/>
            <w:vAlign w:val="center"/>
          </w:tcPr>
          <w:p w14:paraId="7410293D">
            <w:pPr>
              <w:jc w:val="center"/>
              <w:rPr>
                <w:rFonts w:hint="eastAsia" w:ascii="宋体" w:hAnsi="宋体" w:eastAsia="宋体" w:cs="宋体"/>
                <w:i w:val="0"/>
                <w:iCs w:val="0"/>
                <w:color w:val="000000"/>
                <w:sz w:val="20"/>
                <w:szCs w:val="20"/>
                <w:u w:val="none"/>
              </w:rPr>
            </w:pPr>
          </w:p>
        </w:tc>
      </w:tr>
      <w:tr w14:paraId="2D025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71A81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3、公务接待</w:t>
            </w:r>
          </w:p>
        </w:tc>
        <w:tc>
          <w:tcPr>
            <w:tcW w:w="2014" w:type="dxa"/>
            <w:gridSpan w:val="2"/>
            <w:tcBorders>
              <w:tl2br w:val="nil"/>
              <w:tr2bl w:val="nil"/>
            </w:tcBorders>
            <w:shd w:val="clear" w:color="auto" w:fill="auto"/>
            <w:noWrap/>
            <w:vAlign w:val="center"/>
          </w:tcPr>
          <w:p w14:paraId="7D547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0.43</w:t>
            </w:r>
          </w:p>
        </w:tc>
        <w:tc>
          <w:tcPr>
            <w:tcW w:w="2250" w:type="dxa"/>
            <w:gridSpan w:val="2"/>
            <w:tcBorders>
              <w:tl2br w:val="nil"/>
              <w:tr2bl w:val="nil"/>
            </w:tcBorders>
            <w:shd w:val="clear" w:color="auto" w:fill="auto"/>
            <w:noWrap/>
            <w:vAlign w:val="center"/>
          </w:tcPr>
          <w:p w14:paraId="16C73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17" w:type="dxa"/>
            <w:gridSpan w:val="2"/>
            <w:tcBorders>
              <w:tl2br w:val="nil"/>
              <w:tr2bl w:val="nil"/>
            </w:tcBorders>
            <w:shd w:val="clear" w:color="auto" w:fill="auto"/>
            <w:noWrap/>
            <w:vAlign w:val="center"/>
          </w:tcPr>
          <w:p w14:paraId="26238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0.39</w:t>
            </w:r>
          </w:p>
        </w:tc>
      </w:tr>
      <w:tr w14:paraId="6ED05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707D9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1037" w:type="pct"/>
            <w:gridSpan w:val="2"/>
            <w:tcBorders>
              <w:tl2br w:val="nil"/>
              <w:tr2bl w:val="nil"/>
            </w:tcBorders>
            <w:shd w:val="clear" w:color="auto" w:fill="auto"/>
            <w:noWrap/>
            <w:vAlign w:val="center"/>
          </w:tcPr>
          <w:p w14:paraId="7C5B5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250" w:type="dxa"/>
            <w:gridSpan w:val="2"/>
            <w:tcBorders>
              <w:tl2br w:val="nil"/>
              <w:tr2bl w:val="nil"/>
            </w:tcBorders>
            <w:shd w:val="clear" w:color="auto" w:fill="auto"/>
            <w:noWrap/>
            <w:vAlign w:val="center"/>
          </w:tcPr>
          <w:p w14:paraId="5E4FE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217" w:type="dxa"/>
            <w:gridSpan w:val="2"/>
            <w:tcBorders>
              <w:tl2br w:val="nil"/>
              <w:tr2bl w:val="nil"/>
            </w:tcBorders>
            <w:shd w:val="clear" w:color="auto" w:fill="auto"/>
            <w:noWrap/>
            <w:vAlign w:val="center"/>
          </w:tcPr>
          <w:p w14:paraId="124FA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76.52</w:t>
            </w:r>
          </w:p>
        </w:tc>
      </w:tr>
      <w:tr w14:paraId="14B47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4A0ED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1、业务工作经费</w:t>
            </w:r>
          </w:p>
        </w:tc>
        <w:tc>
          <w:tcPr>
            <w:tcW w:w="1037" w:type="pct"/>
            <w:gridSpan w:val="2"/>
            <w:tcBorders>
              <w:tl2br w:val="nil"/>
              <w:tr2bl w:val="nil"/>
            </w:tcBorders>
            <w:shd w:val="clear" w:color="auto" w:fill="auto"/>
            <w:noWrap/>
            <w:vAlign w:val="center"/>
          </w:tcPr>
          <w:p w14:paraId="25051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250" w:type="dxa"/>
            <w:gridSpan w:val="2"/>
            <w:tcBorders>
              <w:tl2br w:val="nil"/>
              <w:tr2bl w:val="nil"/>
            </w:tcBorders>
            <w:shd w:val="clear" w:color="auto" w:fill="auto"/>
            <w:noWrap/>
            <w:vAlign w:val="center"/>
          </w:tcPr>
          <w:p w14:paraId="7D495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217" w:type="dxa"/>
            <w:gridSpan w:val="2"/>
            <w:tcBorders>
              <w:tl2br w:val="nil"/>
              <w:tr2bl w:val="nil"/>
            </w:tcBorders>
            <w:shd w:val="clear" w:color="auto" w:fill="auto"/>
            <w:noWrap/>
            <w:vAlign w:val="center"/>
          </w:tcPr>
          <w:p w14:paraId="4485F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76.52</w:t>
            </w:r>
          </w:p>
        </w:tc>
      </w:tr>
      <w:tr w14:paraId="657F1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3490A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2、运行维护经费</w:t>
            </w:r>
          </w:p>
        </w:tc>
        <w:tc>
          <w:tcPr>
            <w:tcW w:w="1037" w:type="pct"/>
            <w:gridSpan w:val="2"/>
            <w:tcBorders>
              <w:tl2br w:val="nil"/>
              <w:tr2bl w:val="nil"/>
            </w:tcBorders>
            <w:shd w:val="clear" w:color="auto" w:fill="auto"/>
            <w:noWrap/>
            <w:vAlign w:val="center"/>
          </w:tcPr>
          <w:p w14:paraId="34725E1F">
            <w:pPr>
              <w:jc w:val="center"/>
              <w:rPr>
                <w:rFonts w:hint="eastAsia" w:ascii="宋体" w:hAnsi="宋体" w:eastAsia="宋体" w:cs="宋体"/>
                <w:i w:val="0"/>
                <w:iCs w:val="0"/>
                <w:color w:val="000000"/>
                <w:sz w:val="20"/>
                <w:szCs w:val="20"/>
                <w:u w:val="none"/>
              </w:rPr>
            </w:pPr>
          </w:p>
        </w:tc>
        <w:tc>
          <w:tcPr>
            <w:tcW w:w="1158" w:type="pct"/>
            <w:gridSpan w:val="2"/>
            <w:tcBorders>
              <w:tl2br w:val="nil"/>
              <w:tr2bl w:val="nil"/>
            </w:tcBorders>
            <w:shd w:val="clear" w:color="auto" w:fill="auto"/>
            <w:noWrap/>
            <w:vAlign w:val="center"/>
          </w:tcPr>
          <w:p w14:paraId="2A0F7337">
            <w:pPr>
              <w:jc w:val="center"/>
              <w:rPr>
                <w:rFonts w:hint="eastAsia" w:ascii="宋体" w:hAnsi="宋体" w:eastAsia="宋体" w:cs="宋体"/>
                <w:i w:val="0"/>
                <w:iCs w:val="0"/>
                <w:color w:val="000000"/>
                <w:sz w:val="20"/>
                <w:szCs w:val="20"/>
                <w:u w:val="none"/>
              </w:rPr>
            </w:pPr>
          </w:p>
        </w:tc>
        <w:tc>
          <w:tcPr>
            <w:tcW w:w="1141" w:type="pct"/>
            <w:gridSpan w:val="2"/>
            <w:tcBorders>
              <w:tl2br w:val="nil"/>
              <w:tr2bl w:val="nil"/>
            </w:tcBorders>
            <w:shd w:val="clear" w:color="auto" w:fill="auto"/>
            <w:noWrap/>
            <w:vAlign w:val="center"/>
          </w:tcPr>
          <w:p w14:paraId="7A2C2FFD">
            <w:pPr>
              <w:jc w:val="center"/>
              <w:rPr>
                <w:rFonts w:hint="eastAsia" w:ascii="宋体" w:hAnsi="宋体" w:eastAsia="宋体" w:cs="宋体"/>
                <w:i w:val="0"/>
                <w:iCs w:val="0"/>
                <w:color w:val="000000"/>
                <w:sz w:val="20"/>
                <w:szCs w:val="20"/>
                <w:u w:val="none"/>
              </w:rPr>
            </w:pPr>
          </w:p>
        </w:tc>
      </w:tr>
      <w:tr w14:paraId="71191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4" w:hRule="atLeast"/>
        </w:trPr>
        <w:tc>
          <w:tcPr>
            <w:tcW w:w="1661" w:type="pct"/>
            <w:tcBorders>
              <w:tl2br w:val="nil"/>
              <w:tr2bl w:val="nil"/>
            </w:tcBorders>
            <w:shd w:val="clear" w:color="auto" w:fill="auto"/>
            <w:noWrap/>
            <w:vAlign w:val="center"/>
          </w:tcPr>
          <w:p w14:paraId="0E09B0E5">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3、本级专项资金（一个专项一行）</w:t>
            </w:r>
          </w:p>
        </w:tc>
        <w:tc>
          <w:tcPr>
            <w:tcW w:w="1037" w:type="pct"/>
            <w:gridSpan w:val="2"/>
            <w:tcBorders>
              <w:tl2br w:val="nil"/>
              <w:tr2bl w:val="nil"/>
            </w:tcBorders>
            <w:shd w:val="clear" w:color="auto" w:fill="auto"/>
            <w:noWrap/>
            <w:vAlign w:val="center"/>
          </w:tcPr>
          <w:p w14:paraId="36E01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8" w:type="pct"/>
            <w:gridSpan w:val="2"/>
            <w:tcBorders>
              <w:tl2br w:val="nil"/>
              <w:tr2bl w:val="nil"/>
            </w:tcBorders>
            <w:shd w:val="clear" w:color="auto" w:fill="auto"/>
            <w:noWrap/>
            <w:vAlign w:val="center"/>
          </w:tcPr>
          <w:p w14:paraId="3FA72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1" w:type="pct"/>
            <w:gridSpan w:val="2"/>
            <w:tcBorders>
              <w:tl2br w:val="nil"/>
              <w:tr2bl w:val="nil"/>
            </w:tcBorders>
            <w:shd w:val="clear" w:color="auto" w:fill="auto"/>
            <w:noWrap/>
            <w:vAlign w:val="center"/>
          </w:tcPr>
          <w:p w14:paraId="2F7DA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50A1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275F0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c>
          <w:tcPr>
            <w:tcW w:w="2014" w:type="dxa"/>
            <w:gridSpan w:val="2"/>
            <w:tcBorders>
              <w:tl2br w:val="nil"/>
              <w:tr2bl w:val="nil"/>
            </w:tcBorders>
            <w:shd w:val="clear" w:color="auto" w:fill="auto"/>
            <w:noWrap/>
            <w:vAlign w:val="center"/>
          </w:tcPr>
          <w:p w14:paraId="23FBF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34.04</w:t>
            </w:r>
          </w:p>
        </w:tc>
        <w:tc>
          <w:tcPr>
            <w:tcW w:w="2250" w:type="dxa"/>
            <w:gridSpan w:val="2"/>
            <w:tcBorders>
              <w:tl2br w:val="nil"/>
              <w:tr2bl w:val="nil"/>
            </w:tcBorders>
            <w:shd w:val="clear" w:color="auto" w:fill="auto"/>
            <w:noWrap/>
            <w:vAlign w:val="center"/>
          </w:tcPr>
          <w:p w14:paraId="558BD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30.74</w:t>
            </w:r>
          </w:p>
        </w:tc>
        <w:tc>
          <w:tcPr>
            <w:tcW w:w="2217" w:type="dxa"/>
            <w:gridSpan w:val="2"/>
            <w:tcBorders>
              <w:tl2br w:val="nil"/>
              <w:tr2bl w:val="nil"/>
            </w:tcBorders>
            <w:shd w:val="clear" w:color="auto" w:fill="auto"/>
            <w:noWrap/>
            <w:vAlign w:val="center"/>
          </w:tcPr>
          <w:p w14:paraId="0DEFA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40.54</w:t>
            </w:r>
          </w:p>
        </w:tc>
      </w:tr>
      <w:tr w14:paraId="309C0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106EC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其中：办公经费</w:t>
            </w:r>
          </w:p>
        </w:tc>
        <w:tc>
          <w:tcPr>
            <w:tcW w:w="2014" w:type="dxa"/>
            <w:gridSpan w:val="2"/>
            <w:tcBorders>
              <w:tl2br w:val="nil"/>
              <w:tr2bl w:val="nil"/>
            </w:tcBorders>
            <w:shd w:val="clear" w:color="auto" w:fill="auto"/>
            <w:noWrap/>
            <w:vAlign w:val="center"/>
          </w:tcPr>
          <w:p w14:paraId="211F1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2250" w:type="dxa"/>
            <w:gridSpan w:val="2"/>
            <w:tcBorders>
              <w:tl2br w:val="nil"/>
              <w:tr2bl w:val="nil"/>
            </w:tcBorders>
            <w:shd w:val="clear" w:color="auto" w:fill="auto"/>
            <w:noWrap/>
            <w:vAlign w:val="center"/>
          </w:tcPr>
          <w:p w14:paraId="53D3D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2217" w:type="dxa"/>
            <w:gridSpan w:val="2"/>
            <w:tcBorders>
              <w:tl2br w:val="nil"/>
              <w:tr2bl w:val="nil"/>
            </w:tcBorders>
            <w:shd w:val="clear" w:color="auto" w:fill="auto"/>
            <w:noWrap/>
            <w:vAlign w:val="center"/>
          </w:tcPr>
          <w:p w14:paraId="309AC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w:t>
            </w:r>
          </w:p>
        </w:tc>
      </w:tr>
      <w:tr w14:paraId="7B72E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21318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水费、电费、差旅费</w:t>
            </w:r>
          </w:p>
        </w:tc>
        <w:tc>
          <w:tcPr>
            <w:tcW w:w="2014" w:type="dxa"/>
            <w:gridSpan w:val="2"/>
            <w:tcBorders>
              <w:tl2br w:val="nil"/>
              <w:tr2bl w:val="nil"/>
            </w:tcBorders>
            <w:shd w:val="clear" w:color="auto" w:fill="auto"/>
            <w:noWrap/>
            <w:vAlign w:val="center"/>
          </w:tcPr>
          <w:p w14:paraId="1D353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2250" w:type="dxa"/>
            <w:gridSpan w:val="2"/>
            <w:tcBorders>
              <w:tl2br w:val="nil"/>
              <w:tr2bl w:val="nil"/>
            </w:tcBorders>
            <w:shd w:val="clear" w:color="auto" w:fill="auto"/>
            <w:noWrap/>
            <w:vAlign w:val="center"/>
          </w:tcPr>
          <w:p w14:paraId="5984D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217" w:type="dxa"/>
            <w:gridSpan w:val="2"/>
            <w:tcBorders>
              <w:tl2br w:val="nil"/>
              <w:tr2bl w:val="nil"/>
            </w:tcBorders>
            <w:shd w:val="clear" w:color="auto" w:fill="auto"/>
            <w:noWrap/>
            <w:vAlign w:val="center"/>
          </w:tcPr>
          <w:p w14:paraId="5FA51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r>
      <w:tr w14:paraId="284E0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1709F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会议费、培训费</w:t>
            </w:r>
          </w:p>
        </w:tc>
        <w:tc>
          <w:tcPr>
            <w:tcW w:w="2014" w:type="dxa"/>
            <w:gridSpan w:val="2"/>
            <w:tcBorders>
              <w:tl2br w:val="nil"/>
              <w:tr2bl w:val="nil"/>
            </w:tcBorders>
            <w:shd w:val="clear" w:color="auto" w:fill="auto"/>
            <w:noWrap/>
            <w:vAlign w:val="center"/>
          </w:tcPr>
          <w:p w14:paraId="1DCAD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w:t>
            </w:r>
          </w:p>
        </w:tc>
        <w:tc>
          <w:tcPr>
            <w:tcW w:w="2250" w:type="dxa"/>
            <w:gridSpan w:val="2"/>
            <w:tcBorders>
              <w:tl2br w:val="nil"/>
              <w:tr2bl w:val="nil"/>
            </w:tcBorders>
            <w:shd w:val="clear" w:color="auto" w:fill="auto"/>
            <w:noWrap/>
            <w:vAlign w:val="center"/>
          </w:tcPr>
          <w:p w14:paraId="5A504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2217" w:type="dxa"/>
            <w:gridSpan w:val="2"/>
            <w:tcBorders>
              <w:tl2br w:val="nil"/>
              <w:tr2bl w:val="nil"/>
            </w:tcBorders>
            <w:shd w:val="clear" w:color="auto" w:fill="auto"/>
            <w:noWrap/>
            <w:vAlign w:val="center"/>
          </w:tcPr>
          <w:p w14:paraId="75BECCD9">
            <w:pPr>
              <w:jc w:val="center"/>
              <w:rPr>
                <w:rFonts w:hint="eastAsia" w:ascii="宋体" w:hAnsi="宋体" w:eastAsia="宋体" w:cs="宋体"/>
                <w:i w:val="0"/>
                <w:iCs w:val="0"/>
                <w:color w:val="000000"/>
                <w:sz w:val="20"/>
                <w:szCs w:val="20"/>
                <w:u w:val="none"/>
              </w:rPr>
            </w:pPr>
          </w:p>
        </w:tc>
      </w:tr>
      <w:tr w14:paraId="08912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6A181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政府采购金额</w:t>
            </w:r>
          </w:p>
        </w:tc>
        <w:tc>
          <w:tcPr>
            <w:tcW w:w="1037" w:type="pct"/>
            <w:gridSpan w:val="2"/>
            <w:tcBorders>
              <w:tl2br w:val="nil"/>
              <w:tr2bl w:val="nil"/>
            </w:tcBorders>
            <w:shd w:val="clear" w:color="auto" w:fill="auto"/>
            <w:noWrap/>
            <w:vAlign w:val="center"/>
          </w:tcPr>
          <w:p w14:paraId="2FB51200">
            <w:pPr>
              <w:jc w:val="center"/>
              <w:rPr>
                <w:rFonts w:hint="eastAsia" w:ascii="宋体" w:hAnsi="宋体" w:eastAsia="宋体" w:cs="宋体"/>
                <w:i w:val="0"/>
                <w:iCs w:val="0"/>
                <w:color w:val="000000"/>
                <w:sz w:val="20"/>
                <w:szCs w:val="20"/>
                <w:u w:val="none"/>
              </w:rPr>
            </w:pPr>
          </w:p>
        </w:tc>
        <w:tc>
          <w:tcPr>
            <w:tcW w:w="1158" w:type="pct"/>
            <w:gridSpan w:val="2"/>
            <w:tcBorders>
              <w:tl2br w:val="nil"/>
              <w:tr2bl w:val="nil"/>
            </w:tcBorders>
            <w:shd w:val="clear" w:color="auto" w:fill="auto"/>
            <w:noWrap/>
            <w:vAlign w:val="center"/>
          </w:tcPr>
          <w:p w14:paraId="00A519AC">
            <w:pPr>
              <w:jc w:val="center"/>
              <w:rPr>
                <w:rFonts w:hint="eastAsia" w:ascii="宋体" w:hAnsi="宋体" w:eastAsia="宋体" w:cs="宋体"/>
                <w:i w:val="0"/>
                <w:iCs w:val="0"/>
                <w:color w:val="000000"/>
                <w:sz w:val="20"/>
                <w:szCs w:val="20"/>
                <w:u w:val="none"/>
              </w:rPr>
            </w:pPr>
          </w:p>
        </w:tc>
        <w:tc>
          <w:tcPr>
            <w:tcW w:w="1141" w:type="pct"/>
            <w:gridSpan w:val="2"/>
            <w:tcBorders>
              <w:tl2br w:val="nil"/>
              <w:tr2bl w:val="nil"/>
            </w:tcBorders>
            <w:shd w:val="clear" w:color="auto" w:fill="auto"/>
            <w:noWrap/>
            <w:vAlign w:val="center"/>
          </w:tcPr>
          <w:p w14:paraId="67C79A38">
            <w:pPr>
              <w:jc w:val="center"/>
              <w:rPr>
                <w:rFonts w:hint="eastAsia" w:ascii="宋体" w:hAnsi="宋体" w:eastAsia="宋体" w:cs="宋体"/>
                <w:i w:val="0"/>
                <w:iCs w:val="0"/>
                <w:color w:val="000000"/>
                <w:sz w:val="20"/>
                <w:szCs w:val="20"/>
                <w:u w:val="none"/>
              </w:rPr>
            </w:pPr>
          </w:p>
        </w:tc>
      </w:tr>
      <w:tr w14:paraId="2FF5B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3B17C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部门基本支出预算调整 </w:t>
            </w:r>
          </w:p>
        </w:tc>
        <w:tc>
          <w:tcPr>
            <w:tcW w:w="1037" w:type="pct"/>
            <w:gridSpan w:val="2"/>
            <w:tcBorders>
              <w:tl2br w:val="nil"/>
              <w:tr2bl w:val="nil"/>
            </w:tcBorders>
            <w:shd w:val="clear" w:color="auto" w:fill="auto"/>
            <w:noWrap/>
            <w:vAlign w:val="center"/>
          </w:tcPr>
          <w:p w14:paraId="54CA39B6">
            <w:pPr>
              <w:jc w:val="center"/>
              <w:rPr>
                <w:rFonts w:hint="eastAsia" w:ascii="宋体" w:hAnsi="宋体" w:eastAsia="宋体" w:cs="宋体"/>
                <w:i w:val="0"/>
                <w:iCs w:val="0"/>
                <w:color w:val="000000"/>
                <w:sz w:val="20"/>
                <w:szCs w:val="20"/>
                <w:u w:val="none"/>
              </w:rPr>
            </w:pPr>
          </w:p>
        </w:tc>
        <w:tc>
          <w:tcPr>
            <w:tcW w:w="1158" w:type="pct"/>
            <w:gridSpan w:val="2"/>
            <w:tcBorders>
              <w:tl2br w:val="nil"/>
              <w:tr2bl w:val="nil"/>
            </w:tcBorders>
            <w:shd w:val="clear" w:color="auto" w:fill="auto"/>
            <w:noWrap/>
            <w:vAlign w:val="center"/>
          </w:tcPr>
          <w:p w14:paraId="02FB4FD9">
            <w:pPr>
              <w:jc w:val="center"/>
              <w:rPr>
                <w:rFonts w:hint="eastAsia" w:ascii="宋体" w:hAnsi="宋体" w:eastAsia="宋体" w:cs="宋体"/>
                <w:i w:val="0"/>
                <w:iCs w:val="0"/>
                <w:color w:val="000000"/>
                <w:sz w:val="20"/>
                <w:szCs w:val="20"/>
                <w:u w:val="none"/>
              </w:rPr>
            </w:pPr>
          </w:p>
        </w:tc>
        <w:tc>
          <w:tcPr>
            <w:tcW w:w="1141" w:type="pct"/>
            <w:gridSpan w:val="2"/>
            <w:tcBorders>
              <w:tl2br w:val="nil"/>
              <w:tr2bl w:val="nil"/>
            </w:tcBorders>
            <w:shd w:val="clear" w:color="auto" w:fill="auto"/>
            <w:noWrap/>
            <w:vAlign w:val="center"/>
          </w:tcPr>
          <w:p w14:paraId="606B03FB">
            <w:pPr>
              <w:jc w:val="center"/>
              <w:rPr>
                <w:rFonts w:hint="eastAsia" w:ascii="宋体" w:hAnsi="宋体" w:eastAsia="宋体" w:cs="宋体"/>
                <w:i w:val="0"/>
                <w:iCs w:val="0"/>
                <w:color w:val="000000"/>
                <w:sz w:val="20"/>
                <w:szCs w:val="20"/>
                <w:u w:val="none"/>
              </w:rPr>
            </w:pPr>
          </w:p>
        </w:tc>
      </w:tr>
      <w:tr w14:paraId="5846F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76" w:hRule="atLeast"/>
        </w:trPr>
        <w:tc>
          <w:tcPr>
            <w:tcW w:w="1661" w:type="pct"/>
            <w:vMerge w:val="restart"/>
            <w:tcBorders>
              <w:tl2br w:val="nil"/>
              <w:tr2bl w:val="nil"/>
            </w:tcBorders>
            <w:shd w:val="clear" w:color="auto" w:fill="auto"/>
            <w:vAlign w:val="center"/>
          </w:tcPr>
          <w:p w14:paraId="553496E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 xml:space="preserve">楼堂馆所控制情况 </w:t>
            </w:r>
          </w:p>
          <w:p w14:paraId="397B512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（2024完工项目）</w:t>
            </w:r>
          </w:p>
        </w:tc>
        <w:tc>
          <w:tcPr>
            <w:tcW w:w="407" w:type="pct"/>
            <w:tcBorders>
              <w:tl2br w:val="nil"/>
              <w:tr2bl w:val="nil"/>
            </w:tcBorders>
            <w:shd w:val="clear" w:color="auto" w:fill="auto"/>
            <w:vAlign w:val="center"/>
          </w:tcPr>
          <w:p w14:paraId="1E39FF5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 xml:space="preserve">批复规模 </w:t>
            </w:r>
          </w:p>
          <w:p w14:paraId="0B8CD61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629" w:type="pct"/>
            <w:tcBorders>
              <w:tl2br w:val="nil"/>
              <w:tr2bl w:val="nil"/>
            </w:tcBorders>
            <w:shd w:val="clear" w:color="auto" w:fill="auto"/>
            <w:vAlign w:val="center"/>
          </w:tcPr>
          <w:p w14:paraId="3B3F4A5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实际规模</w:t>
            </w:r>
          </w:p>
          <w:p w14:paraId="73BF5C2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476" w:type="pct"/>
            <w:tcBorders>
              <w:tl2br w:val="nil"/>
              <w:tr2bl w:val="nil"/>
            </w:tcBorders>
            <w:shd w:val="clear" w:color="auto" w:fill="auto"/>
            <w:noWrap/>
            <w:vAlign w:val="center"/>
          </w:tcPr>
          <w:p w14:paraId="1599B8A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规模控制率</w:t>
            </w:r>
          </w:p>
        </w:tc>
        <w:tc>
          <w:tcPr>
            <w:tcW w:w="682" w:type="pct"/>
            <w:tcBorders>
              <w:tl2br w:val="nil"/>
              <w:tr2bl w:val="nil"/>
            </w:tcBorders>
            <w:shd w:val="clear" w:color="auto" w:fill="auto"/>
            <w:vAlign w:val="center"/>
          </w:tcPr>
          <w:p w14:paraId="0504150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预算投资</w:t>
            </w:r>
          </w:p>
          <w:p w14:paraId="1852DB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（万元）</w:t>
            </w:r>
          </w:p>
        </w:tc>
        <w:tc>
          <w:tcPr>
            <w:tcW w:w="502" w:type="pct"/>
            <w:tcBorders>
              <w:tl2br w:val="nil"/>
              <w:tr2bl w:val="nil"/>
            </w:tcBorders>
            <w:shd w:val="clear" w:color="auto" w:fill="auto"/>
            <w:vAlign w:val="center"/>
          </w:tcPr>
          <w:p w14:paraId="2350434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实际投资</w:t>
            </w:r>
          </w:p>
          <w:p w14:paraId="74AECC7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（万元）</w:t>
            </w:r>
          </w:p>
        </w:tc>
        <w:tc>
          <w:tcPr>
            <w:tcW w:w="639" w:type="pct"/>
            <w:tcBorders>
              <w:tl2br w:val="nil"/>
              <w:tr2bl w:val="nil"/>
            </w:tcBorders>
            <w:shd w:val="clear" w:color="auto" w:fill="auto"/>
            <w:noWrap/>
            <w:vAlign w:val="center"/>
          </w:tcPr>
          <w:p w14:paraId="5AD5EED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投资概算控制率</w:t>
            </w:r>
          </w:p>
        </w:tc>
      </w:tr>
      <w:tr w14:paraId="2F7F5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4" w:hRule="atLeast"/>
        </w:trPr>
        <w:tc>
          <w:tcPr>
            <w:tcW w:w="1661" w:type="pct"/>
            <w:vMerge w:val="continue"/>
            <w:tcBorders>
              <w:tl2br w:val="nil"/>
              <w:tr2bl w:val="nil"/>
            </w:tcBorders>
            <w:shd w:val="clear" w:color="auto" w:fill="auto"/>
            <w:vAlign w:val="center"/>
          </w:tcPr>
          <w:p w14:paraId="096EE94B">
            <w:pPr>
              <w:jc w:val="center"/>
              <w:rPr>
                <w:rFonts w:hint="eastAsia" w:ascii="宋体" w:hAnsi="宋体" w:eastAsia="宋体" w:cs="宋体"/>
                <w:b/>
                <w:bCs/>
                <w:i w:val="0"/>
                <w:iCs w:val="0"/>
                <w:color w:val="000000"/>
                <w:sz w:val="20"/>
                <w:szCs w:val="20"/>
                <w:u w:val="none"/>
              </w:rPr>
            </w:pPr>
          </w:p>
        </w:tc>
        <w:tc>
          <w:tcPr>
            <w:tcW w:w="407" w:type="pct"/>
            <w:tcBorders>
              <w:tl2br w:val="nil"/>
              <w:tr2bl w:val="nil"/>
            </w:tcBorders>
            <w:shd w:val="clear" w:color="auto" w:fill="auto"/>
            <w:noWrap/>
            <w:vAlign w:val="center"/>
          </w:tcPr>
          <w:p w14:paraId="1E17335F">
            <w:pPr>
              <w:jc w:val="center"/>
              <w:rPr>
                <w:rFonts w:hint="eastAsia" w:ascii="宋体" w:hAnsi="宋体" w:eastAsia="宋体" w:cs="宋体"/>
                <w:i w:val="0"/>
                <w:iCs w:val="0"/>
                <w:color w:val="000000"/>
                <w:sz w:val="20"/>
                <w:szCs w:val="20"/>
                <w:u w:val="none"/>
              </w:rPr>
            </w:pPr>
          </w:p>
        </w:tc>
        <w:tc>
          <w:tcPr>
            <w:tcW w:w="629" w:type="pct"/>
            <w:tcBorders>
              <w:tl2br w:val="nil"/>
              <w:tr2bl w:val="nil"/>
            </w:tcBorders>
            <w:shd w:val="clear" w:color="auto" w:fill="auto"/>
            <w:noWrap/>
            <w:vAlign w:val="center"/>
          </w:tcPr>
          <w:p w14:paraId="6CA2DC48">
            <w:pPr>
              <w:jc w:val="center"/>
              <w:rPr>
                <w:rFonts w:hint="eastAsia" w:ascii="宋体" w:hAnsi="宋体" w:eastAsia="宋体" w:cs="宋体"/>
                <w:i w:val="0"/>
                <w:iCs w:val="0"/>
                <w:color w:val="000000"/>
                <w:sz w:val="20"/>
                <w:szCs w:val="20"/>
                <w:u w:val="none"/>
              </w:rPr>
            </w:pPr>
          </w:p>
        </w:tc>
        <w:tc>
          <w:tcPr>
            <w:tcW w:w="476" w:type="pct"/>
            <w:tcBorders>
              <w:tl2br w:val="nil"/>
              <w:tr2bl w:val="nil"/>
            </w:tcBorders>
            <w:shd w:val="clear" w:color="auto" w:fill="auto"/>
            <w:noWrap/>
            <w:vAlign w:val="center"/>
          </w:tcPr>
          <w:p w14:paraId="5E6DD8B2">
            <w:pPr>
              <w:jc w:val="center"/>
              <w:rPr>
                <w:rFonts w:hint="eastAsia" w:ascii="宋体" w:hAnsi="宋体" w:eastAsia="宋体" w:cs="宋体"/>
                <w:i w:val="0"/>
                <w:iCs w:val="0"/>
                <w:color w:val="000000"/>
                <w:sz w:val="20"/>
                <w:szCs w:val="20"/>
                <w:u w:val="none"/>
              </w:rPr>
            </w:pPr>
          </w:p>
        </w:tc>
        <w:tc>
          <w:tcPr>
            <w:tcW w:w="682" w:type="pct"/>
            <w:tcBorders>
              <w:tl2br w:val="nil"/>
              <w:tr2bl w:val="nil"/>
            </w:tcBorders>
            <w:shd w:val="clear" w:color="auto" w:fill="auto"/>
            <w:noWrap/>
            <w:vAlign w:val="center"/>
          </w:tcPr>
          <w:p w14:paraId="4E1DB090">
            <w:pPr>
              <w:jc w:val="center"/>
              <w:rPr>
                <w:rFonts w:hint="eastAsia" w:ascii="宋体" w:hAnsi="宋体" w:eastAsia="宋体" w:cs="宋体"/>
                <w:i w:val="0"/>
                <w:iCs w:val="0"/>
                <w:color w:val="000000"/>
                <w:sz w:val="20"/>
                <w:szCs w:val="20"/>
                <w:u w:val="none"/>
              </w:rPr>
            </w:pPr>
          </w:p>
        </w:tc>
        <w:tc>
          <w:tcPr>
            <w:tcW w:w="502" w:type="pct"/>
            <w:tcBorders>
              <w:tl2br w:val="nil"/>
              <w:tr2bl w:val="nil"/>
            </w:tcBorders>
            <w:shd w:val="clear" w:color="auto" w:fill="auto"/>
            <w:noWrap/>
            <w:vAlign w:val="center"/>
          </w:tcPr>
          <w:p w14:paraId="15D2767C">
            <w:pPr>
              <w:jc w:val="center"/>
              <w:rPr>
                <w:rFonts w:hint="eastAsia" w:ascii="宋体" w:hAnsi="宋体" w:eastAsia="宋体" w:cs="宋体"/>
                <w:i w:val="0"/>
                <w:iCs w:val="0"/>
                <w:color w:val="000000"/>
                <w:sz w:val="20"/>
                <w:szCs w:val="20"/>
                <w:u w:val="none"/>
              </w:rPr>
            </w:pPr>
          </w:p>
        </w:tc>
        <w:tc>
          <w:tcPr>
            <w:tcW w:w="639" w:type="pct"/>
            <w:tcBorders>
              <w:tl2br w:val="nil"/>
              <w:tr2bl w:val="nil"/>
            </w:tcBorders>
            <w:shd w:val="clear" w:color="auto" w:fill="auto"/>
            <w:noWrap/>
            <w:vAlign w:val="center"/>
          </w:tcPr>
          <w:p w14:paraId="4F599FB3">
            <w:pPr>
              <w:jc w:val="center"/>
              <w:rPr>
                <w:rFonts w:hint="eastAsia" w:ascii="宋体" w:hAnsi="宋体" w:eastAsia="宋体" w:cs="宋体"/>
                <w:i w:val="0"/>
                <w:iCs w:val="0"/>
                <w:color w:val="000000"/>
                <w:sz w:val="20"/>
                <w:szCs w:val="20"/>
                <w:u w:val="none"/>
              </w:rPr>
            </w:pPr>
          </w:p>
        </w:tc>
      </w:tr>
      <w:tr w14:paraId="6ECB5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08" w:hRule="atLeast"/>
        </w:trPr>
        <w:tc>
          <w:tcPr>
            <w:tcW w:w="1661" w:type="pct"/>
            <w:tcBorders>
              <w:tl2br w:val="nil"/>
              <w:tr2bl w:val="nil"/>
            </w:tcBorders>
            <w:shd w:val="clear" w:color="auto" w:fill="auto"/>
            <w:noWrap/>
            <w:vAlign w:val="center"/>
          </w:tcPr>
          <w:p w14:paraId="24EBA6B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厉行节约保障措施</w:t>
            </w:r>
          </w:p>
        </w:tc>
        <w:tc>
          <w:tcPr>
            <w:tcW w:w="3338" w:type="pct"/>
            <w:gridSpan w:val="6"/>
            <w:tcBorders>
              <w:tl2br w:val="nil"/>
              <w:tr2bl w:val="nil"/>
            </w:tcBorders>
            <w:shd w:val="clear" w:color="auto" w:fill="auto"/>
            <w:noWrap/>
            <w:vAlign w:val="center"/>
          </w:tcPr>
          <w:p w14:paraId="09647184">
            <w:pPr>
              <w:jc w:val="center"/>
              <w:rPr>
                <w:rFonts w:hint="eastAsia" w:ascii="宋体" w:hAnsi="宋体" w:eastAsia="宋体" w:cs="宋体"/>
                <w:i w:val="0"/>
                <w:iCs w:val="0"/>
                <w:color w:val="000000"/>
                <w:sz w:val="20"/>
                <w:szCs w:val="20"/>
                <w:u w:val="none"/>
              </w:rPr>
            </w:pPr>
          </w:p>
        </w:tc>
      </w:tr>
    </w:tbl>
    <w:p w14:paraId="2760CC4B">
      <w:pPr>
        <w:pStyle w:val="14"/>
        <w:keepNext/>
        <w:keepLines/>
        <w:pageBreakBefore w:val="0"/>
        <w:widowControl w:val="0"/>
        <w:kinsoku/>
        <w:wordWrap/>
        <w:overflowPunct/>
        <w:topLinePunct w:val="0"/>
        <w:autoSpaceDE/>
        <w:autoSpaceDN/>
        <w:bidi w:val="0"/>
        <w:adjustRightInd/>
        <w:snapToGrid/>
        <w:spacing w:line="280" w:lineRule="exact"/>
        <w:ind w:left="0" w:leftChars="0" w:firstLine="0" w:firstLineChars="0"/>
        <w:textAlignment w:val="auto"/>
        <w:outlineLvl w:val="9"/>
        <w:rPr>
          <w:rFonts w:eastAsia="仿宋_GB2312"/>
          <w:kern w:val="0"/>
          <w:sz w:val="22"/>
        </w:rPr>
      </w:pPr>
    </w:p>
    <w:p w14:paraId="25E47FC1">
      <w:pPr>
        <w:pStyle w:val="14"/>
        <w:keepNext/>
        <w:keepLines/>
        <w:pageBreakBefore w:val="0"/>
        <w:widowControl w:val="0"/>
        <w:kinsoku/>
        <w:wordWrap/>
        <w:overflowPunct/>
        <w:topLinePunct w:val="0"/>
        <w:autoSpaceDE/>
        <w:autoSpaceDN/>
        <w:bidi w:val="0"/>
        <w:adjustRightInd/>
        <w:snapToGrid/>
        <w:spacing w:line="280" w:lineRule="exact"/>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kern w:val="0"/>
          <w:sz w:val="22"/>
        </w:rPr>
        <w:t>说明：“项目支出”需要填报基本支出以外的所有项目支出情况，“公用经费”填报基本支出中的一般商品和服务支出。</w:t>
      </w:r>
    </w:p>
    <w:p w14:paraId="5149A16D">
      <w:pPr>
        <w:widowControl w:val="0"/>
        <w:kinsoku/>
        <w:autoSpaceDE/>
        <w:autoSpaceDN/>
        <w:adjustRightInd/>
        <w:snapToGrid/>
        <w:spacing w:line="600" w:lineRule="exact"/>
        <w:jc w:val="both"/>
        <w:textAlignment w:val="auto"/>
        <w:rPr>
          <w:rFonts w:hint="eastAsia" w:ascii="宋体" w:hAnsi="宋体" w:eastAsia="宋体" w:cs="宋体"/>
          <w:snapToGrid/>
          <w:color w:val="000000"/>
          <w:kern w:val="0"/>
          <w:sz w:val="20"/>
          <w:szCs w:val="20"/>
          <w:lang w:val="en-US" w:eastAsia="zh-CN" w:bidi="ar-SA"/>
        </w:rPr>
      </w:pPr>
      <w:r>
        <w:rPr>
          <w:rFonts w:hint="eastAsia" w:ascii="宋体" w:hAnsi="宋体" w:eastAsia="宋体" w:cs="宋体"/>
          <w:snapToGrid/>
          <w:color w:val="000000"/>
          <w:kern w:val="0"/>
          <w:sz w:val="20"/>
          <w:szCs w:val="20"/>
          <w:lang w:val="en-US" w:eastAsia="zh-CN" w:bidi="ar-SA"/>
        </w:rPr>
        <w:t>填表人：        填报日期：        联系电话：       单位负责人签字：</w:t>
      </w:r>
    </w:p>
    <w:p w14:paraId="5EEA9819">
      <w:pPr>
        <w:keepNext w:val="0"/>
        <w:keepLines w:val="0"/>
        <w:pageBreakBefore w:val="0"/>
        <w:kinsoku/>
        <w:overflowPunct/>
        <w:topLinePunct w:val="0"/>
        <w:autoSpaceDE/>
        <w:bidi w:val="0"/>
        <w:spacing w:line="560" w:lineRule="exact"/>
        <w:rPr>
          <w:rFonts w:hint="eastAsia" w:ascii="黑体" w:hAnsi="黑体" w:eastAsia="黑体" w:cs="黑体"/>
          <w:bCs/>
          <w:sz w:val="32"/>
          <w:szCs w:val="32"/>
        </w:rPr>
        <w:sectPr>
          <w:footerReference r:id="rId3" w:type="default"/>
          <w:footerReference r:id="rId4" w:type="even"/>
          <w:pgSz w:w="11906" w:h="16838"/>
          <w:pgMar w:top="1588" w:right="1588" w:bottom="1588" w:left="1588" w:header="851" w:footer="992" w:gutter="0"/>
          <w:pgNumType w:start="1"/>
          <w:cols w:space="720" w:num="1"/>
          <w:titlePg/>
          <w:docGrid w:type="linesAndChars" w:linePitch="602" w:charSpace="-782"/>
        </w:sectPr>
      </w:pPr>
    </w:p>
    <w:p w14:paraId="51956894">
      <w:pPr>
        <w:keepNext w:val="0"/>
        <w:keepLines w:val="0"/>
        <w:pageBreakBefore w:val="0"/>
        <w:kinsoku/>
        <w:overflowPunct/>
        <w:topLinePunct w:val="0"/>
        <w:autoSpaceDE/>
        <w:bidi w:val="0"/>
        <w:spacing w:line="560" w:lineRule="exact"/>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3-1</w:t>
      </w:r>
      <w:r>
        <w:rPr>
          <w:rFonts w:hint="eastAsia" w:ascii="黑体" w:hAnsi="黑体" w:eastAsia="黑体" w:cs="黑体"/>
          <w:bCs/>
          <w:sz w:val="32"/>
          <w:szCs w:val="32"/>
        </w:rPr>
        <w:t>：</w:t>
      </w:r>
    </w:p>
    <w:p w14:paraId="514FB4A1">
      <w:pPr>
        <w:keepNext w:val="0"/>
        <w:keepLines w:val="0"/>
        <w:pageBreakBefore w:val="0"/>
        <w:kinsoku/>
        <w:overflowPunct/>
        <w:topLinePunct w:val="0"/>
        <w:autoSpaceDE/>
        <w:bidi w:val="0"/>
        <w:spacing w:line="560" w:lineRule="exact"/>
        <w:rPr>
          <w:rFonts w:hint="eastAsia" w:ascii="黑体" w:hAnsi="黑体" w:eastAsia="黑体" w:cs="黑体"/>
          <w:bCs/>
          <w:sz w:val="32"/>
          <w:szCs w:val="32"/>
        </w:rPr>
      </w:pPr>
    </w:p>
    <w:p w14:paraId="02CBB56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宋体" w:hAnsi="宋体" w:eastAsia="宋体" w:cs="宋体"/>
          <w:b/>
          <w:bCs w:val="0"/>
          <w:sz w:val="46"/>
          <w:szCs w:val="46"/>
        </w:rPr>
      </w:pPr>
      <w:r>
        <w:rPr>
          <w:rFonts w:hint="eastAsia" w:ascii="宋体" w:hAnsi="宋体" w:eastAsia="宋体" w:cs="宋体"/>
          <w:b/>
          <w:bCs w:val="0"/>
          <w:sz w:val="46"/>
          <w:szCs w:val="46"/>
        </w:rPr>
        <w:t>岳阳市云溪区</w:t>
      </w:r>
      <w:r>
        <w:rPr>
          <w:rFonts w:hint="eastAsia" w:ascii="宋体" w:hAnsi="宋体" w:cs="宋体"/>
          <w:b/>
          <w:bCs w:val="0"/>
          <w:sz w:val="46"/>
          <w:szCs w:val="46"/>
          <w:u w:val="single"/>
          <w:lang w:eastAsia="zh-CN"/>
        </w:rPr>
        <w:t>2024</w:t>
      </w:r>
      <w:r>
        <w:rPr>
          <w:rFonts w:hint="eastAsia" w:ascii="宋体" w:hAnsi="宋体" w:eastAsia="宋体" w:cs="宋体"/>
          <w:b/>
          <w:bCs w:val="0"/>
          <w:sz w:val="46"/>
          <w:szCs w:val="46"/>
        </w:rPr>
        <w:t>度部门整体支出</w:t>
      </w:r>
    </w:p>
    <w:p w14:paraId="5EC288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sz w:val="46"/>
          <w:szCs w:val="46"/>
        </w:rPr>
      </w:pPr>
      <w:r>
        <w:rPr>
          <w:rFonts w:hint="eastAsia" w:ascii="宋体" w:hAnsi="宋体" w:eastAsia="宋体" w:cs="宋体"/>
          <w:b/>
          <w:bCs w:val="0"/>
          <w:sz w:val="46"/>
          <w:szCs w:val="46"/>
        </w:rPr>
        <w:t>绩效评价自评报告</w:t>
      </w:r>
    </w:p>
    <w:p w14:paraId="7ED6E169">
      <w:pPr>
        <w:keepNext w:val="0"/>
        <w:keepLines w:val="0"/>
        <w:pageBreakBefore w:val="0"/>
        <w:kinsoku/>
        <w:overflowPunct/>
        <w:topLinePunct w:val="0"/>
        <w:autoSpaceDE/>
        <w:bidi w:val="0"/>
        <w:spacing w:line="560" w:lineRule="exact"/>
        <w:rPr>
          <w:rFonts w:hint="eastAsia" w:eastAsia="仿宋_GB2312"/>
          <w:b/>
          <w:sz w:val="32"/>
        </w:rPr>
      </w:pPr>
    </w:p>
    <w:p w14:paraId="284B18DB">
      <w:pPr>
        <w:keepNext w:val="0"/>
        <w:keepLines w:val="0"/>
        <w:pageBreakBefore w:val="0"/>
        <w:kinsoku/>
        <w:overflowPunct/>
        <w:topLinePunct w:val="0"/>
        <w:autoSpaceDE/>
        <w:bidi w:val="0"/>
        <w:spacing w:line="560" w:lineRule="exact"/>
        <w:rPr>
          <w:rFonts w:hint="eastAsia" w:eastAsia="仿宋_GB2312"/>
          <w:b/>
          <w:sz w:val="32"/>
          <w:lang w:val="en-US" w:eastAsia="zh-CN"/>
        </w:rPr>
      </w:pPr>
      <w:r>
        <w:rPr>
          <w:rFonts w:hint="eastAsia" w:eastAsia="仿宋_GB2312"/>
          <w:b/>
          <w:sz w:val="32"/>
          <w:lang w:val="en-US" w:eastAsia="zh-CN"/>
        </w:rPr>
        <w:t xml:space="preserve"> </w:t>
      </w:r>
    </w:p>
    <w:p w14:paraId="14632C0F">
      <w:pPr>
        <w:keepNext w:val="0"/>
        <w:keepLines w:val="0"/>
        <w:pageBreakBefore w:val="0"/>
        <w:kinsoku/>
        <w:overflowPunct/>
        <w:topLinePunct w:val="0"/>
        <w:autoSpaceDE/>
        <w:bidi w:val="0"/>
        <w:spacing w:line="560" w:lineRule="exact"/>
        <w:rPr>
          <w:rFonts w:hint="eastAsia" w:eastAsia="仿宋_GB2312"/>
          <w:b/>
          <w:sz w:val="32"/>
          <w:lang w:val="en-US" w:eastAsia="zh-CN"/>
        </w:rPr>
      </w:pPr>
    </w:p>
    <w:p w14:paraId="254A69D9">
      <w:pPr>
        <w:keepNext w:val="0"/>
        <w:keepLines w:val="0"/>
        <w:pageBreakBefore w:val="0"/>
        <w:kinsoku/>
        <w:overflowPunct/>
        <w:topLinePunct w:val="0"/>
        <w:autoSpaceDE/>
        <w:bidi w:val="0"/>
        <w:spacing w:line="560" w:lineRule="exact"/>
        <w:rPr>
          <w:rFonts w:hint="eastAsia" w:eastAsia="仿宋_GB2312"/>
          <w:b/>
          <w:sz w:val="32"/>
          <w:lang w:val="en-US" w:eastAsia="zh-CN"/>
        </w:rPr>
      </w:pPr>
    </w:p>
    <w:p w14:paraId="0FE94CB3">
      <w:pPr>
        <w:keepNext w:val="0"/>
        <w:keepLines w:val="0"/>
        <w:pageBreakBefore w:val="0"/>
        <w:kinsoku/>
        <w:overflowPunct/>
        <w:topLinePunct w:val="0"/>
        <w:autoSpaceDE/>
        <w:bidi w:val="0"/>
        <w:spacing w:line="560" w:lineRule="exact"/>
        <w:rPr>
          <w:rFonts w:hint="eastAsia" w:eastAsia="仿宋_GB2312"/>
          <w:b/>
          <w:sz w:val="32"/>
        </w:rPr>
      </w:pPr>
    </w:p>
    <w:p w14:paraId="60621946">
      <w:pPr>
        <w:keepNext w:val="0"/>
        <w:keepLines w:val="0"/>
        <w:pageBreakBefore w:val="0"/>
        <w:kinsoku/>
        <w:overflowPunct/>
        <w:topLinePunct w:val="0"/>
        <w:autoSpaceDE/>
        <w:bidi w:val="0"/>
        <w:spacing w:line="560" w:lineRule="exact"/>
        <w:ind w:firstLine="476" w:firstLineChars="150"/>
        <w:rPr>
          <w:rFonts w:hint="eastAsia" w:eastAsia="仿宋_GB2312"/>
          <w:sz w:val="28"/>
          <w:szCs w:val="28"/>
          <w:u w:val="single"/>
        </w:rPr>
      </w:pPr>
      <w:r>
        <w:rPr>
          <w:rFonts w:hint="eastAsia" w:eastAsia="仿宋_GB2312"/>
          <w:sz w:val="32"/>
          <w:szCs w:val="32"/>
        </w:rPr>
        <w:t>部门(单位)名称：</w:t>
      </w:r>
      <w:r>
        <w:rPr>
          <w:rFonts w:hint="eastAsia" w:eastAsia="仿宋_GB2312"/>
          <w:sz w:val="28"/>
          <w:szCs w:val="28"/>
          <w:u w:val="single"/>
          <w:lang w:val="en-US" w:eastAsia="zh-CN"/>
        </w:rPr>
        <w:t>中共岳阳市云溪区委巡察工作领导小组办公室</w:t>
      </w:r>
      <w:r>
        <w:rPr>
          <w:rFonts w:hint="eastAsia" w:eastAsia="仿宋_GB2312"/>
          <w:sz w:val="32"/>
          <w:szCs w:val="32"/>
          <w:u w:val="single"/>
        </w:rPr>
        <w:t xml:space="preserve"> </w:t>
      </w:r>
    </w:p>
    <w:p w14:paraId="60CBE5E2">
      <w:pPr>
        <w:keepNext w:val="0"/>
        <w:keepLines w:val="0"/>
        <w:pageBreakBefore w:val="0"/>
        <w:kinsoku/>
        <w:overflowPunct/>
        <w:topLinePunct w:val="0"/>
        <w:autoSpaceDE/>
        <w:bidi w:val="0"/>
        <w:spacing w:line="560" w:lineRule="exact"/>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150001</w:t>
      </w:r>
      <w:r>
        <w:rPr>
          <w:rFonts w:hint="eastAsia" w:eastAsia="仿宋_GB2312"/>
          <w:spacing w:val="20"/>
          <w:sz w:val="32"/>
          <w:szCs w:val="32"/>
          <w:u w:val="single"/>
        </w:rPr>
        <w:t xml:space="preserve">            </w:t>
      </w:r>
    </w:p>
    <w:p w14:paraId="7F8F353B">
      <w:pPr>
        <w:keepNext w:val="0"/>
        <w:keepLines w:val="0"/>
        <w:pageBreakBefore w:val="0"/>
        <w:kinsoku/>
        <w:overflowPunct/>
        <w:topLinePunct w:val="0"/>
        <w:autoSpaceDE/>
        <w:bidi w:val="0"/>
        <w:spacing w:line="560" w:lineRule="exact"/>
        <w:ind w:firstLine="476" w:firstLineChars="150"/>
        <w:rPr>
          <w:rFonts w:hint="eastAsia" w:eastAsia="仿宋_GB2312"/>
          <w:sz w:val="32"/>
          <w:szCs w:val="32"/>
        </w:rPr>
      </w:pPr>
      <w:r>
        <w:rPr>
          <w:rFonts w:hint="eastAsia" w:eastAsia="仿宋_GB2312"/>
          <w:sz w:val="32"/>
          <w:szCs w:val="32"/>
        </w:rPr>
        <w:t>评价方式：部门（单位）绩效自评</w:t>
      </w:r>
    </w:p>
    <w:p w14:paraId="5687E549">
      <w:pPr>
        <w:keepNext w:val="0"/>
        <w:keepLines w:val="0"/>
        <w:pageBreakBefore w:val="0"/>
        <w:kinsoku/>
        <w:overflowPunct/>
        <w:topLinePunct w:val="0"/>
        <w:autoSpaceDE/>
        <w:bidi w:val="0"/>
        <w:spacing w:line="560" w:lineRule="exact"/>
        <w:ind w:firstLine="476" w:firstLineChars="150"/>
        <w:rPr>
          <w:rFonts w:hint="eastAsia" w:eastAsia="仿宋_GB2312"/>
          <w:sz w:val="32"/>
          <w:szCs w:val="32"/>
        </w:rPr>
      </w:pPr>
      <w:r>
        <w:rPr>
          <w:rFonts w:hint="eastAsia" w:eastAsia="仿宋_GB2312"/>
          <w:sz w:val="32"/>
          <w:szCs w:val="32"/>
        </w:rPr>
        <w:t xml:space="preserve">评价机构：部门（单位）评价组   </w:t>
      </w:r>
    </w:p>
    <w:p w14:paraId="1D5E79CA">
      <w:pPr>
        <w:keepNext w:val="0"/>
        <w:keepLines w:val="0"/>
        <w:pageBreakBefore w:val="0"/>
        <w:kinsoku/>
        <w:overflowPunct/>
        <w:topLinePunct w:val="0"/>
        <w:autoSpaceDE/>
        <w:bidi w:val="0"/>
        <w:spacing w:line="560" w:lineRule="exact"/>
        <w:ind w:firstLine="2188" w:firstLineChars="690"/>
        <w:rPr>
          <w:rFonts w:hint="eastAsia" w:eastAsia="仿宋_GB2312"/>
          <w:sz w:val="32"/>
        </w:rPr>
      </w:pPr>
    </w:p>
    <w:p w14:paraId="76D35EBD">
      <w:pPr>
        <w:keepNext w:val="0"/>
        <w:keepLines w:val="0"/>
        <w:pageBreakBefore w:val="0"/>
        <w:kinsoku/>
        <w:overflowPunct/>
        <w:topLinePunct w:val="0"/>
        <w:autoSpaceDE/>
        <w:bidi w:val="0"/>
        <w:spacing w:line="560" w:lineRule="exact"/>
        <w:ind w:firstLine="2188" w:firstLineChars="690"/>
        <w:rPr>
          <w:rFonts w:hint="eastAsia" w:eastAsia="仿宋_GB2312"/>
          <w:sz w:val="32"/>
        </w:rPr>
      </w:pPr>
    </w:p>
    <w:p w14:paraId="27689768">
      <w:pPr>
        <w:keepNext w:val="0"/>
        <w:keepLines w:val="0"/>
        <w:pageBreakBefore w:val="0"/>
        <w:kinsoku/>
        <w:overflowPunct/>
        <w:topLinePunct w:val="0"/>
        <w:autoSpaceDE/>
        <w:bidi w:val="0"/>
        <w:spacing w:line="560" w:lineRule="exact"/>
        <w:ind w:firstLine="2188" w:firstLineChars="690"/>
        <w:rPr>
          <w:rFonts w:hint="eastAsia" w:eastAsia="仿宋_GB2312"/>
          <w:sz w:val="32"/>
        </w:rPr>
      </w:pPr>
    </w:p>
    <w:p w14:paraId="02C3CF16">
      <w:pPr>
        <w:keepNext w:val="0"/>
        <w:keepLines w:val="0"/>
        <w:pageBreakBefore w:val="0"/>
        <w:kinsoku/>
        <w:overflowPunct/>
        <w:topLinePunct w:val="0"/>
        <w:autoSpaceDE/>
        <w:bidi w:val="0"/>
        <w:spacing w:line="560" w:lineRule="exact"/>
        <w:jc w:val="center"/>
        <w:rPr>
          <w:rFonts w:hint="eastAsia" w:eastAsia="仿宋_GB2312"/>
          <w:sz w:val="32"/>
        </w:rPr>
      </w:pPr>
    </w:p>
    <w:p w14:paraId="6DD0C41E">
      <w:pPr>
        <w:keepNext w:val="0"/>
        <w:keepLines w:val="0"/>
        <w:pageBreakBefore w:val="0"/>
        <w:kinsoku/>
        <w:overflowPunct/>
        <w:topLinePunct w:val="0"/>
        <w:autoSpaceDE/>
        <w:bidi w:val="0"/>
        <w:spacing w:line="560" w:lineRule="exact"/>
        <w:jc w:val="center"/>
        <w:rPr>
          <w:rFonts w:hint="eastAsia" w:eastAsia="仿宋_GB2312"/>
          <w:sz w:val="32"/>
        </w:rPr>
      </w:pPr>
      <w:r>
        <w:rPr>
          <w:rFonts w:hint="eastAsia" w:eastAsia="仿宋_GB2312"/>
          <w:sz w:val="32"/>
          <w:lang w:val="en-US" w:eastAsia="zh-CN"/>
        </w:rPr>
        <w:t xml:space="preserve">         </w:t>
      </w:r>
      <w:r>
        <w:rPr>
          <w:rFonts w:hint="eastAsia" w:eastAsia="仿宋_GB2312"/>
          <w:sz w:val="32"/>
        </w:rPr>
        <w:t>报告日期：</w:t>
      </w:r>
      <w:r>
        <w:rPr>
          <w:rFonts w:hint="eastAsia" w:eastAsia="仿宋_GB2312"/>
          <w:sz w:val="32"/>
          <w:lang w:val="en-US" w:eastAsia="zh-CN"/>
        </w:rPr>
        <w:t>2025</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30</w:t>
      </w:r>
      <w:r>
        <w:rPr>
          <w:rFonts w:hint="eastAsia" w:eastAsia="仿宋_GB2312"/>
          <w:sz w:val="32"/>
        </w:rPr>
        <w:t>日</w:t>
      </w:r>
    </w:p>
    <w:p w14:paraId="0B993AB5">
      <w:pPr>
        <w:keepNext w:val="0"/>
        <w:keepLines w:val="0"/>
        <w:pageBreakBefore w:val="0"/>
        <w:kinsoku/>
        <w:overflowPunct/>
        <w:topLinePunct w:val="0"/>
        <w:autoSpaceDE/>
        <w:autoSpaceDN w:val="0"/>
        <w:bidi w:val="0"/>
        <w:spacing w:line="560" w:lineRule="exact"/>
        <w:jc w:val="center"/>
        <w:textAlignment w:val="center"/>
        <w:rPr>
          <w:rFonts w:hint="eastAsia" w:eastAsia="仿宋_GB2312"/>
          <w:sz w:val="32"/>
          <w:szCs w:val="32"/>
        </w:rPr>
      </w:pPr>
      <w:r>
        <w:rPr>
          <w:rFonts w:hint="eastAsia" w:eastAsia="仿宋_GB2312"/>
          <w:sz w:val="32"/>
          <w:lang w:val="en-US" w:eastAsia="zh-CN"/>
        </w:rPr>
        <w:t xml:space="preserve">          </w:t>
      </w:r>
      <w:r>
        <w:rPr>
          <w:rFonts w:hint="eastAsia" w:eastAsia="仿宋_GB2312"/>
          <w:sz w:val="32"/>
          <w:lang w:eastAsia="zh-CN"/>
        </w:rPr>
        <w:t>中共岳阳市云溪区委巡察工作领导小组办公室</w:t>
      </w:r>
      <w:r>
        <w:rPr>
          <w:rFonts w:hint="eastAsia" w:eastAsia="仿宋_GB2312"/>
          <w:sz w:val="32"/>
          <w:szCs w:val="32"/>
        </w:rPr>
        <w:t>（制）</w:t>
      </w:r>
    </w:p>
    <w:p w14:paraId="205C555C">
      <w:pPr>
        <w:pStyle w:val="13"/>
        <w:rPr>
          <w:rFonts w:hint="eastAsia" w:eastAsia="仿宋_GB2312"/>
          <w:sz w:val="32"/>
          <w:szCs w:val="32"/>
        </w:rPr>
      </w:pPr>
    </w:p>
    <w:p w14:paraId="5D825FB6">
      <w:pPr>
        <w:pStyle w:val="13"/>
        <w:rPr>
          <w:rFonts w:hint="eastAsia" w:eastAsia="仿宋_GB2312"/>
          <w:sz w:val="32"/>
          <w:szCs w:val="32"/>
        </w:rPr>
      </w:pPr>
    </w:p>
    <w:p w14:paraId="6ED1EF0C">
      <w:pPr>
        <w:pStyle w:val="13"/>
        <w:rPr>
          <w:rFonts w:hint="eastAsia" w:eastAsia="仿宋_GB2312"/>
          <w:sz w:val="32"/>
          <w:szCs w:val="32"/>
        </w:rPr>
      </w:pPr>
    </w:p>
    <w:p w14:paraId="6121568E">
      <w:pPr>
        <w:pStyle w:val="13"/>
        <w:rPr>
          <w:rFonts w:hint="eastAsia" w:eastAsia="仿宋_GB2312"/>
          <w:sz w:val="32"/>
          <w:szCs w:val="32"/>
        </w:rPr>
      </w:pPr>
    </w:p>
    <w:p w14:paraId="4A99DC29">
      <w:pPr>
        <w:pStyle w:val="13"/>
        <w:rPr>
          <w:rFonts w:hint="eastAsia" w:eastAsia="仿宋_GB2312"/>
          <w:sz w:val="32"/>
          <w:szCs w:val="32"/>
        </w:rPr>
      </w:pPr>
    </w:p>
    <w:p w14:paraId="7A29E718">
      <w:pPr>
        <w:pStyle w:val="13"/>
        <w:rPr>
          <w:rFonts w:hint="eastAsia" w:eastAsia="仿宋_GB2312"/>
          <w:sz w:val="32"/>
          <w:szCs w:val="32"/>
        </w:rPr>
        <w:sectPr>
          <w:pgSz w:w="11906" w:h="16838"/>
          <w:pgMar w:top="1588" w:right="1588" w:bottom="1588" w:left="1588" w:header="851" w:footer="992" w:gutter="0"/>
          <w:pgNumType w:start="1"/>
          <w:cols w:space="720" w:num="1"/>
          <w:titlePg/>
          <w:docGrid w:type="linesAndChars" w:linePitch="602" w:charSpace="-782"/>
        </w:sectPr>
      </w:pPr>
    </w:p>
    <w:p w14:paraId="60822BD3"/>
    <w:p w14:paraId="3F95A430">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outlineLvl w:val="0"/>
        <w:rPr>
          <w:rFonts w:hint="eastAsia" w:ascii="黑体" w:hAnsi="黑体" w:eastAsia="黑体" w:cs="黑体"/>
          <w:color w:val="000000"/>
          <w:kern w:val="0"/>
          <w:sz w:val="36"/>
          <w:szCs w:val="36"/>
          <w:lang w:val="en-US" w:eastAsia="zh-CN"/>
        </w:rPr>
      </w:pPr>
      <w:r>
        <w:rPr>
          <w:rFonts w:hint="eastAsia" w:ascii="黑体" w:hAnsi="黑体" w:eastAsia="黑体" w:cs="黑体"/>
          <w:color w:val="000000"/>
          <w:kern w:val="0"/>
          <w:sz w:val="36"/>
          <w:szCs w:val="36"/>
          <w:lang w:val="en-US" w:eastAsia="zh-CN"/>
        </w:rPr>
        <w:t>整体支出绩效自评表</w:t>
      </w:r>
    </w:p>
    <w:tbl>
      <w:tblPr>
        <w:tblStyle w:val="8"/>
        <w:tblW w:w="5495" w:type="pct"/>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52"/>
        <w:gridCol w:w="856"/>
        <w:gridCol w:w="887"/>
        <w:gridCol w:w="412"/>
        <w:gridCol w:w="913"/>
        <w:gridCol w:w="164"/>
        <w:gridCol w:w="889"/>
        <w:gridCol w:w="1132"/>
        <w:gridCol w:w="837"/>
        <w:gridCol w:w="708"/>
        <w:gridCol w:w="800"/>
        <w:gridCol w:w="939"/>
        <w:gridCol w:w="78"/>
      </w:tblGrid>
      <w:tr w14:paraId="42761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4" w:hRule="atLeast"/>
        </w:trPr>
        <w:tc>
          <w:tcPr>
            <w:tcW w:w="858" w:type="pct"/>
            <w:gridSpan w:val="2"/>
            <w:tcBorders>
              <w:tl2br w:val="nil"/>
              <w:tr2bl w:val="nil"/>
            </w:tcBorders>
            <w:shd w:val="clear" w:color="auto" w:fill="auto"/>
            <w:noWrap/>
            <w:vAlign w:val="center"/>
          </w:tcPr>
          <w:p w14:paraId="3C426AA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预算部门名称</w:t>
            </w:r>
          </w:p>
        </w:tc>
        <w:tc>
          <w:tcPr>
            <w:tcW w:w="4141" w:type="pct"/>
            <w:gridSpan w:val="11"/>
            <w:tcBorders>
              <w:tl2br w:val="nil"/>
              <w:tr2bl w:val="nil"/>
            </w:tcBorders>
            <w:shd w:val="clear" w:color="auto" w:fill="auto"/>
            <w:noWrap/>
            <w:vAlign w:val="center"/>
          </w:tcPr>
          <w:p w14:paraId="0F26B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kern w:val="0"/>
                <w:sz w:val="24"/>
                <w:lang w:val="en-US" w:eastAsia="zh-CN"/>
              </w:rPr>
              <w:t>中共岳阳市云溪区委巡察工作领导小组办公室</w:t>
            </w:r>
          </w:p>
        </w:tc>
      </w:tr>
      <w:tr w14:paraId="7767D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858" w:type="pct"/>
            <w:gridSpan w:val="2"/>
            <w:vMerge w:val="restart"/>
            <w:tcBorders>
              <w:tl2br w:val="nil"/>
              <w:tr2bl w:val="nil"/>
            </w:tcBorders>
            <w:shd w:val="clear" w:color="auto" w:fill="auto"/>
            <w:vAlign w:val="center"/>
          </w:tcPr>
          <w:p w14:paraId="26517E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年度预算申请</w:t>
            </w:r>
          </w:p>
          <w:p w14:paraId="1C670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693" w:type="pct"/>
            <w:gridSpan w:val="2"/>
            <w:tcBorders>
              <w:tl2br w:val="nil"/>
              <w:tr2bl w:val="nil"/>
            </w:tcBorders>
            <w:shd w:val="clear" w:color="auto" w:fill="auto"/>
            <w:vAlign w:val="center"/>
          </w:tcPr>
          <w:p w14:paraId="5D0353BC">
            <w:pPr>
              <w:jc w:val="center"/>
              <w:rPr>
                <w:rFonts w:hint="eastAsia" w:ascii="宋体" w:hAnsi="宋体" w:eastAsia="宋体" w:cs="宋体"/>
                <w:i w:val="0"/>
                <w:iCs w:val="0"/>
                <w:color w:val="000000"/>
                <w:sz w:val="20"/>
                <w:szCs w:val="20"/>
                <w:u w:val="none"/>
              </w:rPr>
            </w:pPr>
          </w:p>
        </w:tc>
        <w:tc>
          <w:tcPr>
            <w:tcW w:w="487" w:type="pct"/>
            <w:tcBorders>
              <w:tl2br w:val="nil"/>
              <w:tr2bl w:val="nil"/>
            </w:tcBorders>
            <w:shd w:val="clear" w:color="auto" w:fill="auto"/>
            <w:vAlign w:val="center"/>
          </w:tcPr>
          <w:p w14:paraId="2BC2410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年初预算数(万元)</w:t>
            </w:r>
          </w:p>
        </w:tc>
        <w:tc>
          <w:tcPr>
            <w:tcW w:w="562" w:type="pct"/>
            <w:gridSpan w:val="2"/>
            <w:tcBorders>
              <w:tl2br w:val="nil"/>
              <w:tr2bl w:val="nil"/>
            </w:tcBorders>
            <w:shd w:val="clear" w:color="auto" w:fill="auto"/>
            <w:noWrap/>
            <w:vAlign w:val="center"/>
          </w:tcPr>
          <w:p w14:paraId="70327A1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全年预算数（万元）</w:t>
            </w:r>
          </w:p>
        </w:tc>
        <w:tc>
          <w:tcPr>
            <w:tcW w:w="604" w:type="pct"/>
            <w:tcBorders>
              <w:tl2br w:val="nil"/>
              <w:tr2bl w:val="nil"/>
            </w:tcBorders>
            <w:shd w:val="clear" w:color="auto" w:fill="auto"/>
            <w:noWrap/>
            <w:vAlign w:val="center"/>
          </w:tcPr>
          <w:p w14:paraId="7CA1BC1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全年执行数（万元）</w:t>
            </w:r>
          </w:p>
        </w:tc>
        <w:tc>
          <w:tcPr>
            <w:tcW w:w="824" w:type="pct"/>
            <w:gridSpan w:val="2"/>
            <w:tcBorders>
              <w:tl2br w:val="nil"/>
              <w:tr2bl w:val="nil"/>
            </w:tcBorders>
            <w:shd w:val="clear" w:color="auto" w:fill="auto"/>
            <w:vAlign w:val="center"/>
          </w:tcPr>
          <w:p w14:paraId="4254AA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分值</w:t>
            </w:r>
          </w:p>
        </w:tc>
        <w:tc>
          <w:tcPr>
            <w:tcW w:w="427" w:type="pct"/>
            <w:tcBorders>
              <w:tl2br w:val="nil"/>
              <w:tr2bl w:val="nil"/>
            </w:tcBorders>
            <w:shd w:val="clear" w:color="auto" w:fill="auto"/>
            <w:vAlign w:val="center"/>
          </w:tcPr>
          <w:p w14:paraId="745BF4E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w:t>
            </w:r>
          </w:p>
        </w:tc>
        <w:tc>
          <w:tcPr>
            <w:tcW w:w="542" w:type="pct"/>
            <w:gridSpan w:val="2"/>
            <w:tcBorders>
              <w:tl2br w:val="nil"/>
              <w:tr2bl w:val="nil"/>
            </w:tcBorders>
            <w:shd w:val="clear" w:color="auto" w:fill="auto"/>
            <w:vAlign w:val="center"/>
          </w:tcPr>
          <w:p w14:paraId="6D43665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w:t>
            </w:r>
          </w:p>
        </w:tc>
      </w:tr>
      <w:tr w14:paraId="00EE2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6" w:hRule="atLeast"/>
        </w:trPr>
        <w:tc>
          <w:tcPr>
            <w:tcW w:w="858" w:type="pct"/>
            <w:gridSpan w:val="2"/>
            <w:vMerge w:val="continue"/>
            <w:tcBorders>
              <w:tl2br w:val="nil"/>
              <w:tr2bl w:val="nil"/>
            </w:tcBorders>
            <w:shd w:val="clear" w:color="auto" w:fill="auto"/>
            <w:vAlign w:val="center"/>
          </w:tcPr>
          <w:p w14:paraId="03FBADCE">
            <w:pPr>
              <w:jc w:val="center"/>
              <w:rPr>
                <w:rFonts w:hint="eastAsia" w:ascii="宋体" w:hAnsi="宋体" w:eastAsia="宋体" w:cs="宋体"/>
                <w:i w:val="0"/>
                <w:iCs w:val="0"/>
                <w:color w:val="000000"/>
                <w:sz w:val="20"/>
                <w:szCs w:val="20"/>
                <w:u w:val="none"/>
              </w:rPr>
            </w:pPr>
          </w:p>
        </w:tc>
        <w:tc>
          <w:tcPr>
            <w:tcW w:w="693" w:type="pct"/>
            <w:gridSpan w:val="2"/>
            <w:tcBorders>
              <w:tl2br w:val="nil"/>
              <w:tr2bl w:val="nil"/>
            </w:tcBorders>
            <w:shd w:val="clear" w:color="auto" w:fill="auto"/>
            <w:vAlign w:val="center"/>
          </w:tcPr>
          <w:p w14:paraId="476F2F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年度资金总额：</w:t>
            </w:r>
          </w:p>
        </w:tc>
        <w:tc>
          <w:tcPr>
            <w:tcW w:w="487" w:type="pct"/>
            <w:tcBorders>
              <w:tl2br w:val="nil"/>
              <w:tr2bl w:val="nil"/>
            </w:tcBorders>
            <w:shd w:val="clear" w:color="auto" w:fill="auto"/>
            <w:vAlign w:val="center"/>
          </w:tcPr>
          <w:p w14:paraId="7EA0D477">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248.29</w:t>
            </w:r>
          </w:p>
        </w:tc>
        <w:tc>
          <w:tcPr>
            <w:tcW w:w="562" w:type="pct"/>
            <w:gridSpan w:val="2"/>
            <w:tcBorders>
              <w:tl2br w:val="nil"/>
              <w:tr2bl w:val="nil"/>
            </w:tcBorders>
            <w:shd w:val="clear" w:color="auto" w:fill="auto"/>
            <w:vAlign w:val="center"/>
          </w:tcPr>
          <w:p w14:paraId="351BB06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279.27</w:t>
            </w:r>
          </w:p>
        </w:tc>
        <w:tc>
          <w:tcPr>
            <w:tcW w:w="604" w:type="pct"/>
            <w:tcBorders>
              <w:tl2br w:val="nil"/>
              <w:tr2bl w:val="nil"/>
            </w:tcBorders>
            <w:shd w:val="clear" w:color="auto" w:fill="auto"/>
            <w:vAlign w:val="center"/>
          </w:tcPr>
          <w:p w14:paraId="0C95388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279.27</w:t>
            </w:r>
          </w:p>
        </w:tc>
        <w:tc>
          <w:tcPr>
            <w:tcW w:w="824" w:type="pct"/>
            <w:gridSpan w:val="2"/>
            <w:tcBorders>
              <w:tl2br w:val="nil"/>
              <w:tr2bl w:val="nil"/>
            </w:tcBorders>
            <w:shd w:val="clear" w:color="auto" w:fill="auto"/>
            <w:vAlign w:val="center"/>
          </w:tcPr>
          <w:p w14:paraId="58D3D33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427" w:type="pct"/>
            <w:tcBorders>
              <w:tl2br w:val="nil"/>
              <w:tr2bl w:val="nil"/>
            </w:tcBorders>
            <w:shd w:val="clear" w:color="auto" w:fill="auto"/>
            <w:vAlign w:val="center"/>
          </w:tcPr>
          <w:p w14:paraId="43E9C67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100.00%</w:t>
            </w:r>
          </w:p>
        </w:tc>
        <w:tc>
          <w:tcPr>
            <w:tcW w:w="542" w:type="pct"/>
            <w:gridSpan w:val="2"/>
            <w:tcBorders>
              <w:tl2br w:val="nil"/>
              <w:tr2bl w:val="nil"/>
            </w:tcBorders>
            <w:shd w:val="clear" w:color="auto" w:fill="auto"/>
            <w:vAlign w:val="center"/>
          </w:tcPr>
          <w:p w14:paraId="360765B3">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10.00</w:t>
            </w:r>
          </w:p>
        </w:tc>
      </w:tr>
      <w:tr w14:paraId="2EE77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4" w:hRule="atLeast"/>
        </w:trPr>
        <w:tc>
          <w:tcPr>
            <w:tcW w:w="858" w:type="pct"/>
            <w:gridSpan w:val="2"/>
            <w:vMerge w:val="continue"/>
            <w:tcBorders>
              <w:tl2br w:val="nil"/>
              <w:tr2bl w:val="nil"/>
            </w:tcBorders>
            <w:shd w:val="clear" w:color="auto" w:fill="auto"/>
            <w:vAlign w:val="center"/>
          </w:tcPr>
          <w:p w14:paraId="0A1DCD86">
            <w:pPr>
              <w:jc w:val="center"/>
              <w:rPr>
                <w:rFonts w:hint="eastAsia" w:ascii="宋体" w:hAnsi="宋体" w:eastAsia="宋体" w:cs="宋体"/>
                <w:i w:val="0"/>
                <w:iCs w:val="0"/>
                <w:color w:val="000000"/>
                <w:sz w:val="20"/>
                <w:szCs w:val="20"/>
                <w:u w:val="none"/>
              </w:rPr>
            </w:pPr>
          </w:p>
        </w:tc>
        <w:tc>
          <w:tcPr>
            <w:tcW w:w="2347" w:type="pct"/>
            <w:gridSpan w:val="6"/>
            <w:tcBorders>
              <w:tl2br w:val="nil"/>
              <w:tr2bl w:val="nil"/>
            </w:tcBorders>
            <w:shd w:val="clear" w:color="auto" w:fill="auto"/>
            <w:vAlign w:val="center"/>
          </w:tcPr>
          <w:p w14:paraId="008858A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按收入性质分：</w:t>
            </w:r>
          </w:p>
        </w:tc>
        <w:tc>
          <w:tcPr>
            <w:tcW w:w="1794" w:type="pct"/>
            <w:gridSpan w:val="5"/>
            <w:tcBorders>
              <w:tl2br w:val="nil"/>
              <w:tr2bl w:val="nil"/>
            </w:tcBorders>
            <w:shd w:val="clear" w:color="auto" w:fill="auto"/>
            <w:vAlign w:val="center"/>
          </w:tcPr>
          <w:p w14:paraId="5D47A0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按支出性质分：</w:t>
            </w:r>
          </w:p>
        </w:tc>
      </w:tr>
      <w:tr w14:paraId="0B093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4" w:hRule="atLeast"/>
        </w:trPr>
        <w:tc>
          <w:tcPr>
            <w:tcW w:w="858" w:type="pct"/>
            <w:gridSpan w:val="2"/>
            <w:vMerge w:val="continue"/>
            <w:tcBorders>
              <w:tl2br w:val="nil"/>
              <w:tr2bl w:val="nil"/>
            </w:tcBorders>
            <w:shd w:val="clear" w:color="auto" w:fill="auto"/>
            <w:vAlign w:val="center"/>
          </w:tcPr>
          <w:p w14:paraId="2C346440">
            <w:pPr>
              <w:jc w:val="center"/>
              <w:rPr>
                <w:rFonts w:hint="eastAsia" w:ascii="宋体" w:hAnsi="宋体" w:eastAsia="宋体" w:cs="宋体"/>
                <w:i w:val="0"/>
                <w:iCs w:val="0"/>
                <w:color w:val="000000"/>
                <w:sz w:val="20"/>
                <w:szCs w:val="20"/>
                <w:u w:val="none"/>
              </w:rPr>
            </w:pPr>
          </w:p>
        </w:tc>
        <w:tc>
          <w:tcPr>
            <w:tcW w:w="693" w:type="pct"/>
            <w:gridSpan w:val="2"/>
            <w:tcBorders>
              <w:tl2br w:val="nil"/>
              <w:tr2bl w:val="nil"/>
            </w:tcBorders>
            <w:shd w:val="clear" w:color="auto" w:fill="auto"/>
            <w:vAlign w:val="center"/>
          </w:tcPr>
          <w:p w14:paraId="6BBFCF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一般公共预算：</w:t>
            </w:r>
          </w:p>
        </w:tc>
        <w:tc>
          <w:tcPr>
            <w:tcW w:w="1653" w:type="pct"/>
            <w:gridSpan w:val="4"/>
            <w:tcBorders>
              <w:tl2br w:val="nil"/>
              <w:tr2bl w:val="nil"/>
            </w:tcBorders>
            <w:shd w:val="clear" w:color="auto" w:fill="auto"/>
            <w:vAlign w:val="center"/>
          </w:tcPr>
          <w:p w14:paraId="6C1897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279.27</w:t>
            </w:r>
          </w:p>
        </w:tc>
        <w:tc>
          <w:tcPr>
            <w:tcW w:w="824" w:type="pct"/>
            <w:gridSpan w:val="2"/>
            <w:vMerge w:val="restart"/>
            <w:tcBorders>
              <w:tl2br w:val="nil"/>
              <w:tr2bl w:val="nil"/>
            </w:tcBorders>
            <w:shd w:val="clear" w:color="auto" w:fill="auto"/>
            <w:vAlign w:val="center"/>
          </w:tcPr>
          <w:p w14:paraId="511FFB7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其中:基本支出：</w:t>
            </w:r>
          </w:p>
        </w:tc>
        <w:tc>
          <w:tcPr>
            <w:tcW w:w="969" w:type="pct"/>
            <w:gridSpan w:val="3"/>
            <w:vMerge w:val="restart"/>
            <w:tcBorders>
              <w:tl2br w:val="nil"/>
              <w:tr2bl w:val="nil"/>
            </w:tcBorders>
            <w:shd w:val="clear" w:color="auto" w:fill="auto"/>
            <w:vAlign w:val="center"/>
          </w:tcPr>
          <w:p w14:paraId="065A99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202.75</w:t>
            </w:r>
          </w:p>
        </w:tc>
      </w:tr>
      <w:tr w14:paraId="1DFB6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8" w:hRule="atLeast"/>
        </w:trPr>
        <w:tc>
          <w:tcPr>
            <w:tcW w:w="858" w:type="pct"/>
            <w:gridSpan w:val="2"/>
            <w:vMerge w:val="continue"/>
            <w:tcBorders>
              <w:tl2br w:val="nil"/>
              <w:tr2bl w:val="nil"/>
            </w:tcBorders>
            <w:shd w:val="clear" w:color="auto" w:fill="auto"/>
            <w:vAlign w:val="center"/>
          </w:tcPr>
          <w:p w14:paraId="039A4D84">
            <w:pPr>
              <w:jc w:val="center"/>
              <w:rPr>
                <w:rFonts w:hint="eastAsia" w:ascii="宋体" w:hAnsi="宋体" w:eastAsia="宋体" w:cs="宋体"/>
                <w:i w:val="0"/>
                <w:iCs w:val="0"/>
                <w:color w:val="000000"/>
                <w:sz w:val="20"/>
                <w:szCs w:val="20"/>
                <w:u w:val="none"/>
              </w:rPr>
            </w:pPr>
          </w:p>
        </w:tc>
        <w:tc>
          <w:tcPr>
            <w:tcW w:w="693" w:type="pct"/>
            <w:gridSpan w:val="2"/>
            <w:tcBorders>
              <w:tl2br w:val="nil"/>
              <w:tr2bl w:val="nil"/>
            </w:tcBorders>
            <w:shd w:val="clear" w:color="auto" w:fill="auto"/>
            <w:vAlign w:val="center"/>
          </w:tcPr>
          <w:p w14:paraId="32D4109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政府性基金拨款：</w:t>
            </w:r>
          </w:p>
        </w:tc>
        <w:tc>
          <w:tcPr>
            <w:tcW w:w="1653" w:type="pct"/>
            <w:gridSpan w:val="4"/>
            <w:tcBorders>
              <w:tl2br w:val="nil"/>
              <w:tr2bl w:val="nil"/>
            </w:tcBorders>
            <w:shd w:val="clear" w:color="auto" w:fill="auto"/>
            <w:vAlign w:val="center"/>
          </w:tcPr>
          <w:p w14:paraId="002461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w:t>
            </w:r>
          </w:p>
        </w:tc>
        <w:tc>
          <w:tcPr>
            <w:tcW w:w="824" w:type="pct"/>
            <w:gridSpan w:val="2"/>
            <w:vMerge w:val="continue"/>
            <w:tcBorders>
              <w:tl2br w:val="nil"/>
              <w:tr2bl w:val="nil"/>
            </w:tcBorders>
            <w:shd w:val="clear" w:color="auto" w:fill="auto"/>
            <w:vAlign w:val="center"/>
          </w:tcPr>
          <w:p w14:paraId="58AE9A3C">
            <w:pPr>
              <w:jc w:val="center"/>
              <w:rPr>
                <w:rFonts w:hint="eastAsia" w:ascii="宋体" w:hAnsi="宋体" w:eastAsia="宋体" w:cs="宋体"/>
                <w:b/>
                <w:bCs/>
                <w:i w:val="0"/>
                <w:iCs w:val="0"/>
                <w:color w:val="000000"/>
                <w:sz w:val="20"/>
                <w:szCs w:val="20"/>
                <w:u w:val="none"/>
              </w:rPr>
            </w:pPr>
          </w:p>
        </w:tc>
        <w:tc>
          <w:tcPr>
            <w:tcW w:w="969" w:type="pct"/>
            <w:gridSpan w:val="3"/>
            <w:vMerge w:val="continue"/>
            <w:tcBorders>
              <w:tl2br w:val="nil"/>
              <w:tr2bl w:val="nil"/>
            </w:tcBorders>
            <w:shd w:val="clear" w:color="auto" w:fill="auto"/>
            <w:vAlign w:val="center"/>
          </w:tcPr>
          <w:p w14:paraId="5220F3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CA7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2" w:hRule="atLeast"/>
        </w:trPr>
        <w:tc>
          <w:tcPr>
            <w:tcW w:w="858" w:type="pct"/>
            <w:gridSpan w:val="2"/>
            <w:vMerge w:val="continue"/>
            <w:tcBorders>
              <w:tl2br w:val="nil"/>
              <w:tr2bl w:val="nil"/>
            </w:tcBorders>
            <w:shd w:val="clear" w:color="auto" w:fill="auto"/>
            <w:vAlign w:val="center"/>
          </w:tcPr>
          <w:p w14:paraId="1FA701ED">
            <w:pPr>
              <w:jc w:val="center"/>
              <w:rPr>
                <w:rFonts w:hint="eastAsia" w:ascii="宋体" w:hAnsi="宋体" w:eastAsia="宋体" w:cs="宋体"/>
                <w:i w:val="0"/>
                <w:iCs w:val="0"/>
                <w:color w:val="000000"/>
                <w:sz w:val="20"/>
                <w:szCs w:val="20"/>
                <w:u w:val="none"/>
              </w:rPr>
            </w:pPr>
          </w:p>
        </w:tc>
        <w:tc>
          <w:tcPr>
            <w:tcW w:w="693" w:type="pct"/>
            <w:gridSpan w:val="2"/>
            <w:tcBorders>
              <w:tl2br w:val="nil"/>
              <w:tr2bl w:val="nil"/>
            </w:tcBorders>
            <w:shd w:val="clear" w:color="auto" w:fill="auto"/>
            <w:vAlign w:val="center"/>
          </w:tcPr>
          <w:p w14:paraId="46A1FB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纳入专户管理的非税收入拨款：</w:t>
            </w:r>
          </w:p>
        </w:tc>
        <w:tc>
          <w:tcPr>
            <w:tcW w:w="1653" w:type="pct"/>
            <w:gridSpan w:val="4"/>
            <w:tcBorders>
              <w:tl2br w:val="nil"/>
              <w:tr2bl w:val="nil"/>
            </w:tcBorders>
            <w:shd w:val="clear" w:color="auto" w:fill="auto"/>
            <w:vAlign w:val="center"/>
          </w:tcPr>
          <w:p w14:paraId="0D1FEC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w:t>
            </w:r>
          </w:p>
        </w:tc>
        <w:tc>
          <w:tcPr>
            <w:tcW w:w="824" w:type="pct"/>
            <w:gridSpan w:val="2"/>
            <w:vMerge w:val="restart"/>
            <w:tcBorders>
              <w:tl2br w:val="nil"/>
              <w:tr2bl w:val="nil"/>
            </w:tcBorders>
            <w:shd w:val="clear" w:color="auto" w:fill="auto"/>
            <w:vAlign w:val="center"/>
          </w:tcPr>
          <w:p w14:paraId="723E132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w:t>
            </w:r>
          </w:p>
        </w:tc>
        <w:tc>
          <w:tcPr>
            <w:tcW w:w="969" w:type="pct"/>
            <w:gridSpan w:val="3"/>
            <w:vMerge w:val="restart"/>
            <w:tcBorders>
              <w:tl2br w:val="nil"/>
              <w:tr2bl w:val="nil"/>
            </w:tcBorders>
            <w:shd w:val="clear" w:color="auto" w:fill="auto"/>
            <w:vAlign w:val="center"/>
          </w:tcPr>
          <w:p w14:paraId="2C45D3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76.52</w:t>
            </w:r>
          </w:p>
        </w:tc>
      </w:tr>
      <w:tr w14:paraId="652D2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8" w:hRule="atLeast"/>
        </w:trPr>
        <w:tc>
          <w:tcPr>
            <w:tcW w:w="858" w:type="pct"/>
            <w:gridSpan w:val="2"/>
            <w:vMerge w:val="continue"/>
            <w:tcBorders>
              <w:tl2br w:val="nil"/>
              <w:tr2bl w:val="nil"/>
            </w:tcBorders>
            <w:shd w:val="clear" w:color="auto" w:fill="auto"/>
            <w:vAlign w:val="center"/>
          </w:tcPr>
          <w:p w14:paraId="593ED9B5">
            <w:pPr>
              <w:jc w:val="center"/>
              <w:rPr>
                <w:rFonts w:hint="eastAsia" w:ascii="宋体" w:hAnsi="宋体" w:eastAsia="宋体" w:cs="宋体"/>
                <w:i w:val="0"/>
                <w:iCs w:val="0"/>
                <w:color w:val="000000"/>
                <w:sz w:val="20"/>
                <w:szCs w:val="20"/>
                <w:u w:val="none"/>
              </w:rPr>
            </w:pPr>
          </w:p>
        </w:tc>
        <w:tc>
          <w:tcPr>
            <w:tcW w:w="693" w:type="pct"/>
            <w:gridSpan w:val="2"/>
            <w:tcBorders>
              <w:tl2br w:val="nil"/>
              <w:tr2bl w:val="nil"/>
            </w:tcBorders>
            <w:shd w:val="clear" w:color="auto" w:fill="auto"/>
            <w:vAlign w:val="center"/>
          </w:tcPr>
          <w:p w14:paraId="0C7ACAD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其他资金</w:t>
            </w:r>
          </w:p>
        </w:tc>
        <w:tc>
          <w:tcPr>
            <w:tcW w:w="1653" w:type="pct"/>
            <w:gridSpan w:val="4"/>
            <w:tcBorders>
              <w:tl2br w:val="nil"/>
              <w:tr2bl w:val="nil"/>
            </w:tcBorders>
            <w:shd w:val="clear" w:color="auto" w:fill="auto"/>
            <w:vAlign w:val="center"/>
          </w:tcPr>
          <w:p w14:paraId="07B4B5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824" w:type="pct"/>
            <w:gridSpan w:val="2"/>
            <w:vMerge w:val="continue"/>
            <w:tcBorders>
              <w:tl2br w:val="nil"/>
              <w:tr2bl w:val="nil"/>
            </w:tcBorders>
            <w:shd w:val="clear" w:color="auto" w:fill="auto"/>
            <w:vAlign w:val="center"/>
          </w:tcPr>
          <w:p w14:paraId="2EF52FD7">
            <w:pPr>
              <w:jc w:val="center"/>
              <w:rPr>
                <w:rFonts w:hint="eastAsia" w:ascii="宋体" w:hAnsi="宋体" w:eastAsia="宋体" w:cs="宋体"/>
                <w:b/>
                <w:bCs/>
                <w:i w:val="0"/>
                <w:iCs w:val="0"/>
                <w:color w:val="000000"/>
                <w:sz w:val="20"/>
                <w:szCs w:val="20"/>
                <w:u w:val="none"/>
              </w:rPr>
            </w:pPr>
          </w:p>
        </w:tc>
        <w:tc>
          <w:tcPr>
            <w:tcW w:w="969" w:type="pct"/>
            <w:gridSpan w:val="3"/>
            <w:vMerge w:val="continue"/>
            <w:tcBorders>
              <w:tl2br w:val="nil"/>
              <w:tr2bl w:val="nil"/>
            </w:tcBorders>
            <w:shd w:val="clear" w:color="auto" w:fill="auto"/>
            <w:vAlign w:val="center"/>
          </w:tcPr>
          <w:p w14:paraId="59C3388D">
            <w:pPr>
              <w:jc w:val="center"/>
              <w:rPr>
                <w:rFonts w:hint="eastAsia" w:ascii="宋体" w:hAnsi="宋体" w:eastAsia="宋体" w:cs="宋体"/>
                <w:i w:val="0"/>
                <w:iCs w:val="0"/>
                <w:color w:val="000000"/>
                <w:sz w:val="20"/>
                <w:szCs w:val="20"/>
                <w:u w:val="none"/>
              </w:rPr>
            </w:pPr>
          </w:p>
        </w:tc>
      </w:tr>
      <w:tr w14:paraId="4B183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2" w:hRule="atLeast"/>
        </w:trPr>
        <w:tc>
          <w:tcPr>
            <w:tcW w:w="858" w:type="pct"/>
            <w:gridSpan w:val="2"/>
            <w:vMerge w:val="restart"/>
            <w:tcBorders>
              <w:tl2br w:val="nil"/>
              <w:tr2bl w:val="nil"/>
            </w:tcBorders>
            <w:shd w:val="clear" w:color="auto" w:fill="auto"/>
            <w:vAlign w:val="center"/>
          </w:tcPr>
          <w:p w14:paraId="5BB76B5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年度总体目标</w:t>
            </w:r>
          </w:p>
        </w:tc>
        <w:tc>
          <w:tcPr>
            <w:tcW w:w="2347" w:type="pct"/>
            <w:gridSpan w:val="6"/>
            <w:tcBorders>
              <w:tl2br w:val="nil"/>
              <w:tr2bl w:val="nil"/>
            </w:tcBorders>
            <w:shd w:val="clear" w:color="auto" w:fill="auto"/>
            <w:vAlign w:val="center"/>
          </w:tcPr>
          <w:p w14:paraId="24FD2B4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预期目标</w:t>
            </w:r>
          </w:p>
        </w:tc>
        <w:tc>
          <w:tcPr>
            <w:tcW w:w="1794" w:type="pct"/>
            <w:gridSpan w:val="5"/>
            <w:tcBorders>
              <w:tl2br w:val="nil"/>
              <w:tr2bl w:val="nil"/>
            </w:tcBorders>
            <w:shd w:val="clear" w:color="auto" w:fill="auto"/>
            <w:vAlign w:val="center"/>
          </w:tcPr>
          <w:p w14:paraId="6015659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实际完成情况</w:t>
            </w:r>
          </w:p>
        </w:tc>
      </w:tr>
      <w:tr w14:paraId="757C4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858" w:type="pct"/>
            <w:gridSpan w:val="2"/>
            <w:vMerge w:val="continue"/>
            <w:tcBorders>
              <w:tl2br w:val="nil"/>
              <w:tr2bl w:val="nil"/>
            </w:tcBorders>
            <w:shd w:val="clear" w:color="auto" w:fill="auto"/>
            <w:vAlign w:val="center"/>
          </w:tcPr>
          <w:p w14:paraId="1FBDA6EA">
            <w:pPr>
              <w:jc w:val="center"/>
              <w:rPr>
                <w:rFonts w:hint="eastAsia" w:ascii="宋体" w:hAnsi="宋体" w:eastAsia="宋体" w:cs="宋体"/>
                <w:b/>
                <w:bCs/>
                <w:i w:val="0"/>
                <w:iCs w:val="0"/>
                <w:color w:val="000000"/>
                <w:sz w:val="20"/>
                <w:szCs w:val="20"/>
                <w:u w:val="none"/>
              </w:rPr>
            </w:pPr>
          </w:p>
        </w:tc>
        <w:tc>
          <w:tcPr>
            <w:tcW w:w="2347" w:type="pct"/>
            <w:gridSpan w:val="6"/>
            <w:tcBorders>
              <w:tl2br w:val="nil"/>
              <w:tr2bl w:val="nil"/>
            </w:tcBorders>
            <w:shd w:val="clear" w:color="auto" w:fill="auto"/>
            <w:vAlign w:val="center"/>
          </w:tcPr>
          <w:p w14:paraId="20999D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保证人员经费政策发放；保证单位经费正常运转，工作顺利开展；开展巡察工作。</w:t>
            </w:r>
          </w:p>
        </w:tc>
        <w:tc>
          <w:tcPr>
            <w:tcW w:w="1794" w:type="pct"/>
            <w:gridSpan w:val="5"/>
            <w:tcBorders>
              <w:tl2br w:val="nil"/>
              <w:tr2bl w:val="nil"/>
            </w:tcBorders>
            <w:shd w:val="clear" w:color="auto" w:fill="auto"/>
            <w:vAlign w:val="center"/>
          </w:tcPr>
          <w:p w14:paraId="470FA0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如期完成常规巡察，发挥巡察利剑作用，形成震慑，并如期向领导小组负责并报告工作。</w:t>
            </w:r>
          </w:p>
        </w:tc>
      </w:tr>
      <w:tr w14:paraId="069E9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309" w:hRule="atLeast"/>
        </w:trPr>
        <w:tc>
          <w:tcPr>
            <w:tcW w:w="401" w:type="pct"/>
            <w:vMerge w:val="restart"/>
            <w:tcBorders>
              <w:tl2br w:val="nil"/>
              <w:tr2bl w:val="nil"/>
            </w:tcBorders>
            <w:shd w:val="clear" w:color="auto" w:fill="auto"/>
            <w:vAlign w:val="center"/>
          </w:tcPr>
          <w:p w14:paraId="468F8A1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绩效指标</w:t>
            </w:r>
          </w:p>
        </w:tc>
        <w:tc>
          <w:tcPr>
            <w:tcW w:w="456" w:type="pct"/>
            <w:vMerge w:val="restart"/>
            <w:tcBorders>
              <w:tl2br w:val="nil"/>
              <w:tr2bl w:val="nil"/>
            </w:tcBorders>
            <w:shd w:val="clear" w:color="auto" w:fill="auto"/>
            <w:vAlign w:val="center"/>
          </w:tcPr>
          <w:p w14:paraId="7C37D59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473" w:type="pct"/>
            <w:vMerge w:val="restart"/>
            <w:tcBorders>
              <w:tl2br w:val="nil"/>
              <w:tr2bl w:val="nil"/>
            </w:tcBorders>
            <w:shd w:val="clear" w:color="auto" w:fill="auto"/>
            <w:noWrap/>
            <w:vAlign w:val="center"/>
          </w:tcPr>
          <w:p w14:paraId="4B22E40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794" w:type="pct"/>
            <w:gridSpan w:val="3"/>
            <w:vMerge w:val="restart"/>
            <w:tcBorders>
              <w:tl2br w:val="nil"/>
              <w:tr2bl w:val="nil"/>
            </w:tcBorders>
            <w:shd w:val="clear" w:color="auto" w:fill="auto"/>
            <w:vAlign w:val="center"/>
          </w:tcPr>
          <w:p w14:paraId="3FBB5DE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1078" w:type="pct"/>
            <w:gridSpan w:val="2"/>
            <w:vMerge w:val="restart"/>
            <w:tcBorders>
              <w:tl2br w:val="nil"/>
              <w:tr2bl w:val="nil"/>
            </w:tcBorders>
            <w:shd w:val="clear" w:color="auto" w:fill="auto"/>
            <w:vAlign w:val="center"/>
          </w:tcPr>
          <w:p w14:paraId="65E2527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年度指标值</w:t>
            </w:r>
          </w:p>
        </w:tc>
        <w:tc>
          <w:tcPr>
            <w:tcW w:w="446" w:type="pct"/>
            <w:vMerge w:val="restart"/>
            <w:tcBorders>
              <w:tl2br w:val="nil"/>
              <w:tr2bl w:val="nil"/>
            </w:tcBorders>
            <w:shd w:val="clear" w:color="auto" w:fill="auto"/>
            <w:vAlign w:val="center"/>
          </w:tcPr>
          <w:p w14:paraId="2BBE272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实际完成值</w:t>
            </w:r>
          </w:p>
        </w:tc>
        <w:tc>
          <w:tcPr>
            <w:tcW w:w="377" w:type="pct"/>
            <w:vMerge w:val="restart"/>
            <w:tcBorders>
              <w:tl2br w:val="nil"/>
              <w:tr2bl w:val="nil"/>
            </w:tcBorders>
            <w:shd w:val="clear" w:color="auto" w:fill="auto"/>
            <w:vAlign w:val="center"/>
          </w:tcPr>
          <w:p w14:paraId="77E2125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分值</w:t>
            </w:r>
          </w:p>
        </w:tc>
        <w:tc>
          <w:tcPr>
            <w:tcW w:w="427" w:type="pct"/>
            <w:vMerge w:val="restart"/>
            <w:tcBorders>
              <w:tl2br w:val="nil"/>
              <w:tr2bl w:val="nil"/>
            </w:tcBorders>
            <w:shd w:val="clear" w:color="auto" w:fill="auto"/>
            <w:vAlign w:val="center"/>
          </w:tcPr>
          <w:p w14:paraId="37C1F1B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w:t>
            </w:r>
          </w:p>
        </w:tc>
        <w:tc>
          <w:tcPr>
            <w:tcW w:w="501" w:type="pct"/>
            <w:vMerge w:val="restart"/>
            <w:tcBorders>
              <w:tl2br w:val="nil"/>
              <w:tr2bl w:val="nil"/>
            </w:tcBorders>
            <w:shd w:val="clear" w:color="auto" w:fill="auto"/>
            <w:noWrap/>
            <w:vAlign w:val="center"/>
          </w:tcPr>
          <w:p w14:paraId="198419A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偏差原因分析及改进措施</w:t>
            </w:r>
          </w:p>
        </w:tc>
      </w:tr>
      <w:tr w14:paraId="04689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549" w:hRule="atLeast"/>
        </w:trPr>
        <w:tc>
          <w:tcPr>
            <w:tcW w:w="401" w:type="pct"/>
            <w:vMerge w:val="continue"/>
            <w:tcBorders>
              <w:tl2br w:val="nil"/>
              <w:tr2bl w:val="nil"/>
            </w:tcBorders>
            <w:shd w:val="clear" w:color="auto" w:fill="auto"/>
            <w:vAlign w:val="center"/>
          </w:tcPr>
          <w:p w14:paraId="10E1B19D">
            <w:pPr>
              <w:jc w:val="center"/>
              <w:rPr>
                <w:rFonts w:hint="eastAsia" w:ascii="宋体" w:hAnsi="宋体" w:eastAsia="宋体" w:cs="宋体"/>
                <w:b/>
                <w:bCs/>
                <w:i w:val="0"/>
                <w:iCs w:val="0"/>
                <w:color w:val="000000"/>
                <w:sz w:val="20"/>
                <w:szCs w:val="20"/>
                <w:u w:val="none"/>
              </w:rPr>
            </w:pPr>
          </w:p>
        </w:tc>
        <w:tc>
          <w:tcPr>
            <w:tcW w:w="456" w:type="pct"/>
            <w:vMerge w:val="continue"/>
            <w:tcBorders>
              <w:tl2br w:val="nil"/>
              <w:tr2bl w:val="nil"/>
            </w:tcBorders>
            <w:shd w:val="clear" w:color="auto" w:fill="auto"/>
            <w:vAlign w:val="center"/>
          </w:tcPr>
          <w:p w14:paraId="4555277F">
            <w:pPr>
              <w:jc w:val="center"/>
              <w:rPr>
                <w:rFonts w:hint="eastAsia" w:ascii="宋体" w:hAnsi="宋体" w:eastAsia="宋体" w:cs="宋体"/>
                <w:b/>
                <w:bCs/>
                <w:i w:val="0"/>
                <w:iCs w:val="0"/>
                <w:color w:val="000000"/>
                <w:sz w:val="20"/>
                <w:szCs w:val="20"/>
                <w:u w:val="none"/>
              </w:rPr>
            </w:pPr>
          </w:p>
        </w:tc>
        <w:tc>
          <w:tcPr>
            <w:tcW w:w="473" w:type="pct"/>
            <w:vMerge w:val="continue"/>
            <w:tcBorders>
              <w:tl2br w:val="nil"/>
              <w:tr2bl w:val="nil"/>
            </w:tcBorders>
            <w:shd w:val="clear" w:color="auto" w:fill="auto"/>
            <w:noWrap/>
            <w:vAlign w:val="center"/>
          </w:tcPr>
          <w:p w14:paraId="7869160E">
            <w:pPr>
              <w:jc w:val="center"/>
              <w:rPr>
                <w:rFonts w:hint="eastAsia" w:ascii="宋体" w:hAnsi="宋体" w:eastAsia="宋体" w:cs="宋体"/>
                <w:b/>
                <w:bCs/>
                <w:i w:val="0"/>
                <w:iCs w:val="0"/>
                <w:color w:val="000000"/>
                <w:sz w:val="20"/>
                <w:szCs w:val="20"/>
                <w:u w:val="none"/>
              </w:rPr>
            </w:pPr>
          </w:p>
        </w:tc>
        <w:tc>
          <w:tcPr>
            <w:tcW w:w="794" w:type="pct"/>
            <w:gridSpan w:val="3"/>
            <w:vMerge w:val="continue"/>
            <w:tcBorders>
              <w:tl2br w:val="nil"/>
              <w:tr2bl w:val="nil"/>
            </w:tcBorders>
            <w:shd w:val="clear" w:color="auto" w:fill="auto"/>
            <w:vAlign w:val="center"/>
          </w:tcPr>
          <w:p w14:paraId="0935B72D">
            <w:pPr>
              <w:jc w:val="center"/>
              <w:rPr>
                <w:rFonts w:hint="eastAsia" w:ascii="宋体" w:hAnsi="宋体" w:eastAsia="宋体" w:cs="宋体"/>
                <w:b/>
                <w:bCs/>
                <w:i w:val="0"/>
                <w:iCs w:val="0"/>
                <w:color w:val="000000"/>
                <w:sz w:val="20"/>
                <w:szCs w:val="20"/>
                <w:u w:val="none"/>
              </w:rPr>
            </w:pPr>
          </w:p>
        </w:tc>
        <w:tc>
          <w:tcPr>
            <w:tcW w:w="1078" w:type="pct"/>
            <w:gridSpan w:val="2"/>
            <w:vMerge w:val="continue"/>
            <w:tcBorders>
              <w:tl2br w:val="nil"/>
              <w:tr2bl w:val="nil"/>
            </w:tcBorders>
            <w:shd w:val="clear" w:color="auto" w:fill="auto"/>
            <w:vAlign w:val="center"/>
          </w:tcPr>
          <w:p w14:paraId="3063730E">
            <w:pPr>
              <w:jc w:val="center"/>
              <w:rPr>
                <w:rFonts w:hint="eastAsia" w:ascii="宋体" w:hAnsi="宋体" w:eastAsia="宋体" w:cs="宋体"/>
                <w:b/>
                <w:bCs/>
                <w:i w:val="0"/>
                <w:iCs w:val="0"/>
                <w:color w:val="000000"/>
                <w:sz w:val="20"/>
                <w:szCs w:val="20"/>
                <w:u w:val="none"/>
              </w:rPr>
            </w:pPr>
          </w:p>
        </w:tc>
        <w:tc>
          <w:tcPr>
            <w:tcW w:w="446" w:type="pct"/>
            <w:vMerge w:val="continue"/>
            <w:tcBorders>
              <w:tl2br w:val="nil"/>
              <w:tr2bl w:val="nil"/>
            </w:tcBorders>
            <w:shd w:val="clear" w:color="auto" w:fill="auto"/>
            <w:vAlign w:val="center"/>
          </w:tcPr>
          <w:p w14:paraId="7D8B67D3">
            <w:pPr>
              <w:jc w:val="center"/>
              <w:rPr>
                <w:rFonts w:hint="eastAsia" w:ascii="宋体" w:hAnsi="宋体" w:eastAsia="宋体" w:cs="宋体"/>
                <w:b/>
                <w:bCs/>
                <w:i w:val="0"/>
                <w:iCs w:val="0"/>
                <w:color w:val="000000"/>
                <w:sz w:val="20"/>
                <w:szCs w:val="20"/>
                <w:u w:val="none"/>
              </w:rPr>
            </w:pPr>
          </w:p>
        </w:tc>
        <w:tc>
          <w:tcPr>
            <w:tcW w:w="377" w:type="pct"/>
            <w:vMerge w:val="continue"/>
            <w:tcBorders>
              <w:tl2br w:val="nil"/>
              <w:tr2bl w:val="nil"/>
            </w:tcBorders>
            <w:shd w:val="clear" w:color="auto" w:fill="auto"/>
            <w:vAlign w:val="center"/>
          </w:tcPr>
          <w:p w14:paraId="2C5936C6">
            <w:pPr>
              <w:jc w:val="center"/>
              <w:rPr>
                <w:rFonts w:hint="eastAsia" w:ascii="宋体" w:hAnsi="宋体" w:eastAsia="宋体" w:cs="宋体"/>
                <w:b/>
                <w:bCs/>
                <w:i w:val="0"/>
                <w:iCs w:val="0"/>
                <w:color w:val="000000"/>
                <w:sz w:val="20"/>
                <w:szCs w:val="20"/>
                <w:u w:val="none"/>
              </w:rPr>
            </w:pPr>
          </w:p>
        </w:tc>
        <w:tc>
          <w:tcPr>
            <w:tcW w:w="427" w:type="pct"/>
            <w:vMerge w:val="continue"/>
            <w:tcBorders>
              <w:tl2br w:val="nil"/>
              <w:tr2bl w:val="nil"/>
            </w:tcBorders>
            <w:shd w:val="clear" w:color="auto" w:fill="auto"/>
            <w:vAlign w:val="center"/>
          </w:tcPr>
          <w:p w14:paraId="05EE17CC">
            <w:pPr>
              <w:jc w:val="center"/>
              <w:rPr>
                <w:rFonts w:hint="eastAsia" w:ascii="宋体" w:hAnsi="宋体" w:eastAsia="宋体" w:cs="宋体"/>
                <w:b/>
                <w:bCs/>
                <w:i w:val="0"/>
                <w:iCs w:val="0"/>
                <w:color w:val="000000"/>
                <w:sz w:val="20"/>
                <w:szCs w:val="20"/>
                <w:u w:val="none"/>
              </w:rPr>
            </w:pPr>
          </w:p>
        </w:tc>
        <w:tc>
          <w:tcPr>
            <w:tcW w:w="501" w:type="pct"/>
            <w:vMerge w:val="continue"/>
            <w:tcBorders>
              <w:tl2br w:val="nil"/>
              <w:tr2bl w:val="nil"/>
            </w:tcBorders>
            <w:shd w:val="clear" w:color="auto" w:fill="auto"/>
            <w:noWrap/>
            <w:vAlign w:val="center"/>
          </w:tcPr>
          <w:p w14:paraId="53858078">
            <w:pPr>
              <w:jc w:val="center"/>
              <w:rPr>
                <w:rFonts w:hint="eastAsia" w:ascii="宋体" w:hAnsi="宋体" w:eastAsia="宋体" w:cs="宋体"/>
                <w:b/>
                <w:bCs/>
                <w:i w:val="0"/>
                <w:iCs w:val="0"/>
                <w:color w:val="000000"/>
                <w:sz w:val="20"/>
                <w:szCs w:val="20"/>
                <w:u w:val="none"/>
              </w:rPr>
            </w:pPr>
          </w:p>
        </w:tc>
      </w:tr>
      <w:tr w14:paraId="21836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401" w:type="pct"/>
            <w:vMerge w:val="restart"/>
            <w:tcBorders>
              <w:tl2br w:val="nil"/>
              <w:tr2bl w:val="nil"/>
            </w:tcBorders>
            <w:shd w:val="clear" w:color="auto" w:fill="auto"/>
            <w:vAlign w:val="center"/>
          </w:tcPr>
          <w:p w14:paraId="18F59E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456" w:type="pct"/>
            <w:vMerge w:val="restart"/>
            <w:tcBorders>
              <w:tl2br w:val="nil"/>
              <w:tr2bl w:val="nil"/>
            </w:tcBorders>
            <w:shd w:val="clear" w:color="auto" w:fill="auto"/>
            <w:noWrap/>
            <w:vAlign w:val="center"/>
          </w:tcPr>
          <w:p w14:paraId="5297DF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473" w:type="pct"/>
            <w:tcBorders>
              <w:tl2br w:val="nil"/>
              <w:tr2bl w:val="nil"/>
            </w:tcBorders>
            <w:shd w:val="clear" w:color="auto" w:fill="auto"/>
            <w:noWrap/>
            <w:vAlign w:val="center"/>
          </w:tcPr>
          <w:p w14:paraId="4E88EF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794" w:type="pct"/>
            <w:gridSpan w:val="3"/>
            <w:tcBorders>
              <w:tl2br w:val="nil"/>
              <w:tr2bl w:val="nil"/>
            </w:tcBorders>
            <w:shd w:val="clear" w:color="auto" w:fill="auto"/>
            <w:vAlign w:val="center"/>
          </w:tcPr>
          <w:p w14:paraId="28068D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常规巡察</w:t>
            </w:r>
          </w:p>
        </w:tc>
        <w:tc>
          <w:tcPr>
            <w:tcW w:w="1078" w:type="pct"/>
            <w:gridSpan w:val="2"/>
            <w:tcBorders>
              <w:tl2br w:val="nil"/>
              <w:tr2bl w:val="nil"/>
            </w:tcBorders>
            <w:shd w:val="clear" w:color="auto" w:fill="auto"/>
            <w:vAlign w:val="center"/>
          </w:tcPr>
          <w:p w14:paraId="1181CA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≥2轮</w:t>
            </w:r>
          </w:p>
        </w:tc>
        <w:tc>
          <w:tcPr>
            <w:tcW w:w="446" w:type="pct"/>
            <w:tcBorders>
              <w:tl2br w:val="nil"/>
              <w:tr2bl w:val="nil"/>
            </w:tcBorders>
            <w:shd w:val="clear" w:color="auto" w:fill="auto"/>
            <w:vAlign w:val="center"/>
          </w:tcPr>
          <w:p w14:paraId="701ACB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2轮</w:t>
            </w:r>
          </w:p>
        </w:tc>
        <w:tc>
          <w:tcPr>
            <w:tcW w:w="377" w:type="pct"/>
            <w:tcBorders>
              <w:tl2br w:val="nil"/>
              <w:tr2bl w:val="nil"/>
            </w:tcBorders>
            <w:shd w:val="clear" w:color="auto" w:fill="auto"/>
            <w:vAlign w:val="center"/>
          </w:tcPr>
          <w:p w14:paraId="1793F4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w:t>
            </w:r>
          </w:p>
        </w:tc>
        <w:tc>
          <w:tcPr>
            <w:tcW w:w="427" w:type="pct"/>
            <w:tcBorders>
              <w:tl2br w:val="nil"/>
              <w:tr2bl w:val="nil"/>
            </w:tcBorders>
            <w:shd w:val="clear" w:color="auto" w:fill="auto"/>
            <w:vAlign w:val="center"/>
          </w:tcPr>
          <w:p w14:paraId="3C1769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w:t>
            </w:r>
          </w:p>
        </w:tc>
        <w:tc>
          <w:tcPr>
            <w:tcW w:w="501" w:type="pct"/>
            <w:tcBorders>
              <w:tl2br w:val="nil"/>
              <w:tr2bl w:val="nil"/>
            </w:tcBorders>
            <w:shd w:val="clear" w:color="auto" w:fill="auto"/>
            <w:noWrap/>
            <w:vAlign w:val="center"/>
          </w:tcPr>
          <w:p w14:paraId="61BBC7BB">
            <w:pPr>
              <w:jc w:val="center"/>
              <w:rPr>
                <w:rFonts w:hint="eastAsia" w:ascii="宋体" w:hAnsi="宋体" w:eastAsia="宋体" w:cs="宋体"/>
                <w:i w:val="0"/>
                <w:iCs w:val="0"/>
                <w:color w:val="000000"/>
                <w:sz w:val="20"/>
                <w:szCs w:val="20"/>
                <w:u w:val="none"/>
              </w:rPr>
            </w:pPr>
          </w:p>
        </w:tc>
      </w:tr>
      <w:tr w14:paraId="4F199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401" w:type="pct"/>
            <w:vMerge w:val="continue"/>
            <w:tcBorders>
              <w:tl2br w:val="nil"/>
              <w:tr2bl w:val="nil"/>
            </w:tcBorders>
            <w:shd w:val="clear" w:color="auto" w:fill="auto"/>
            <w:vAlign w:val="center"/>
          </w:tcPr>
          <w:p w14:paraId="04C9974D">
            <w:pPr>
              <w:rPr>
                <w:rFonts w:hint="eastAsia" w:ascii="宋体" w:hAnsi="宋体" w:eastAsia="宋体" w:cs="宋体"/>
                <w:i w:val="0"/>
                <w:iCs w:val="0"/>
                <w:color w:val="000000"/>
                <w:sz w:val="20"/>
                <w:szCs w:val="20"/>
                <w:u w:val="none"/>
              </w:rPr>
            </w:pPr>
          </w:p>
        </w:tc>
        <w:tc>
          <w:tcPr>
            <w:tcW w:w="456" w:type="pct"/>
            <w:vMerge w:val="continue"/>
            <w:tcBorders>
              <w:tl2br w:val="nil"/>
              <w:tr2bl w:val="nil"/>
            </w:tcBorders>
            <w:shd w:val="clear" w:color="auto" w:fill="auto"/>
            <w:noWrap/>
            <w:vAlign w:val="center"/>
          </w:tcPr>
          <w:p w14:paraId="165061C1">
            <w:pPr>
              <w:rPr>
                <w:rFonts w:hint="eastAsia" w:ascii="宋体" w:hAnsi="宋体" w:eastAsia="宋体" w:cs="宋体"/>
                <w:i w:val="0"/>
                <w:iCs w:val="0"/>
                <w:color w:val="000000"/>
                <w:sz w:val="20"/>
                <w:szCs w:val="20"/>
                <w:u w:val="none"/>
              </w:rPr>
            </w:pPr>
          </w:p>
        </w:tc>
        <w:tc>
          <w:tcPr>
            <w:tcW w:w="473" w:type="pct"/>
            <w:vMerge w:val="restart"/>
            <w:tcBorders>
              <w:tl2br w:val="nil"/>
              <w:tr2bl w:val="nil"/>
            </w:tcBorders>
            <w:shd w:val="clear" w:color="auto" w:fill="auto"/>
            <w:noWrap/>
            <w:vAlign w:val="center"/>
          </w:tcPr>
          <w:p w14:paraId="2C378F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794" w:type="pct"/>
            <w:gridSpan w:val="3"/>
            <w:tcBorders>
              <w:tl2br w:val="nil"/>
              <w:tr2bl w:val="nil"/>
            </w:tcBorders>
            <w:shd w:val="clear" w:color="auto" w:fill="auto"/>
            <w:vAlign w:val="center"/>
          </w:tcPr>
          <w:p w14:paraId="3E824B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常规巡察完成率</w:t>
            </w:r>
          </w:p>
        </w:tc>
        <w:tc>
          <w:tcPr>
            <w:tcW w:w="1078" w:type="pct"/>
            <w:gridSpan w:val="2"/>
            <w:tcBorders>
              <w:tl2br w:val="nil"/>
              <w:tr2bl w:val="nil"/>
            </w:tcBorders>
            <w:shd w:val="clear" w:color="auto" w:fill="auto"/>
            <w:vAlign w:val="center"/>
          </w:tcPr>
          <w:p w14:paraId="692F6D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≥100%</w:t>
            </w:r>
          </w:p>
        </w:tc>
        <w:tc>
          <w:tcPr>
            <w:tcW w:w="446" w:type="pct"/>
            <w:tcBorders>
              <w:tl2br w:val="nil"/>
              <w:tr2bl w:val="nil"/>
            </w:tcBorders>
            <w:shd w:val="clear" w:color="auto" w:fill="auto"/>
            <w:vAlign w:val="center"/>
          </w:tcPr>
          <w:p w14:paraId="7419F7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100%</w:t>
            </w:r>
          </w:p>
        </w:tc>
        <w:tc>
          <w:tcPr>
            <w:tcW w:w="377" w:type="pct"/>
            <w:tcBorders>
              <w:tl2br w:val="nil"/>
              <w:tr2bl w:val="nil"/>
            </w:tcBorders>
            <w:shd w:val="clear" w:color="auto" w:fill="auto"/>
            <w:vAlign w:val="center"/>
          </w:tcPr>
          <w:p w14:paraId="1787A5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w:t>
            </w:r>
          </w:p>
        </w:tc>
        <w:tc>
          <w:tcPr>
            <w:tcW w:w="427" w:type="pct"/>
            <w:tcBorders>
              <w:tl2br w:val="nil"/>
              <w:tr2bl w:val="nil"/>
            </w:tcBorders>
            <w:shd w:val="clear" w:color="auto" w:fill="auto"/>
            <w:vAlign w:val="center"/>
          </w:tcPr>
          <w:p w14:paraId="44E6F9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w:t>
            </w:r>
          </w:p>
        </w:tc>
        <w:tc>
          <w:tcPr>
            <w:tcW w:w="501" w:type="pct"/>
            <w:tcBorders>
              <w:tl2br w:val="nil"/>
              <w:tr2bl w:val="nil"/>
            </w:tcBorders>
            <w:shd w:val="clear" w:color="auto" w:fill="auto"/>
            <w:noWrap/>
            <w:vAlign w:val="center"/>
          </w:tcPr>
          <w:p w14:paraId="6B53B4BC">
            <w:pPr>
              <w:jc w:val="center"/>
              <w:rPr>
                <w:rFonts w:hint="eastAsia" w:ascii="宋体" w:hAnsi="宋体" w:eastAsia="宋体" w:cs="宋体"/>
                <w:i w:val="0"/>
                <w:iCs w:val="0"/>
                <w:color w:val="000000"/>
                <w:sz w:val="20"/>
                <w:szCs w:val="20"/>
                <w:u w:val="none"/>
              </w:rPr>
            </w:pPr>
          </w:p>
        </w:tc>
      </w:tr>
      <w:tr w14:paraId="65EEB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401" w:type="pct"/>
            <w:vMerge w:val="continue"/>
            <w:tcBorders>
              <w:tl2br w:val="nil"/>
              <w:tr2bl w:val="nil"/>
            </w:tcBorders>
            <w:shd w:val="clear" w:color="auto" w:fill="auto"/>
            <w:vAlign w:val="center"/>
          </w:tcPr>
          <w:p w14:paraId="5414DACB">
            <w:pPr>
              <w:rPr>
                <w:rFonts w:hint="eastAsia" w:ascii="宋体" w:hAnsi="宋体" w:eastAsia="宋体" w:cs="宋体"/>
                <w:i w:val="0"/>
                <w:iCs w:val="0"/>
                <w:color w:val="000000"/>
                <w:sz w:val="20"/>
                <w:szCs w:val="20"/>
                <w:u w:val="none"/>
              </w:rPr>
            </w:pPr>
          </w:p>
        </w:tc>
        <w:tc>
          <w:tcPr>
            <w:tcW w:w="456" w:type="pct"/>
            <w:vMerge w:val="continue"/>
            <w:tcBorders>
              <w:tl2br w:val="nil"/>
              <w:tr2bl w:val="nil"/>
            </w:tcBorders>
            <w:shd w:val="clear" w:color="auto" w:fill="auto"/>
            <w:noWrap/>
            <w:vAlign w:val="center"/>
          </w:tcPr>
          <w:p w14:paraId="4D9105BF">
            <w:pPr>
              <w:rPr>
                <w:rFonts w:hint="eastAsia" w:ascii="宋体" w:hAnsi="宋体" w:eastAsia="宋体" w:cs="宋体"/>
                <w:i w:val="0"/>
                <w:iCs w:val="0"/>
                <w:color w:val="000000"/>
                <w:sz w:val="20"/>
                <w:szCs w:val="20"/>
                <w:u w:val="none"/>
              </w:rPr>
            </w:pPr>
          </w:p>
        </w:tc>
        <w:tc>
          <w:tcPr>
            <w:tcW w:w="473" w:type="pct"/>
            <w:vMerge w:val="continue"/>
            <w:tcBorders>
              <w:tl2br w:val="nil"/>
              <w:tr2bl w:val="nil"/>
            </w:tcBorders>
            <w:shd w:val="clear" w:color="auto" w:fill="auto"/>
            <w:noWrap/>
            <w:vAlign w:val="center"/>
          </w:tcPr>
          <w:p w14:paraId="32B4941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794" w:type="pct"/>
            <w:gridSpan w:val="3"/>
            <w:tcBorders>
              <w:tl2br w:val="nil"/>
              <w:tr2bl w:val="nil"/>
            </w:tcBorders>
            <w:shd w:val="clear" w:color="auto" w:fill="auto"/>
            <w:vAlign w:val="center"/>
          </w:tcPr>
          <w:p w14:paraId="00483E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巡察发现问题整改率</w:t>
            </w:r>
          </w:p>
        </w:tc>
        <w:tc>
          <w:tcPr>
            <w:tcW w:w="1078" w:type="pct"/>
            <w:gridSpan w:val="2"/>
            <w:tcBorders>
              <w:tl2br w:val="nil"/>
              <w:tr2bl w:val="nil"/>
            </w:tcBorders>
            <w:shd w:val="clear" w:color="auto" w:fill="auto"/>
            <w:vAlign w:val="center"/>
          </w:tcPr>
          <w:p w14:paraId="11AE0A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≥90%</w:t>
            </w:r>
          </w:p>
        </w:tc>
        <w:tc>
          <w:tcPr>
            <w:tcW w:w="446" w:type="pct"/>
            <w:tcBorders>
              <w:tl2br w:val="nil"/>
              <w:tr2bl w:val="nil"/>
            </w:tcBorders>
            <w:shd w:val="clear" w:color="auto" w:fill="auto"/>
            <w:vAlign w:val="center"/>
          </w:tcPr>
          <w:p w14:paraId="0A8E0A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90%</w:t>
            </w:r>
          </w:p>
        </w:tc>
        <w:tc>
          <w:tcPr>
            <w:tcW w:w="377" w:type="pct"/>
            <w:tcBorders>
              <w:tl2br w:val="nil"/>
              <w:tr2bl w:val="nil"/>
            </w:tcBorders>
            <w:shd w:val="clear" w:color="auto" w:fill="auto"/>
            <w:vAlign w:val="center"/>
          </w:tcPr>
          <w:p w14:paraId="64E8CD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w:t>
            </w:r>
          </w:p>
        </w:tc>
        <w:tc>
          <w:tcPr>
            <w:tcW w:w="427" w:type="pct"/>
            <w:tcBorders>
              <w:tl2br w:val="nil"/>
              <w:tr2bl w:val="nil"/>
            </w:tcBorders>
            <w:shd w:val="clear" w:color="auto" w:fill="auto"/>
            <w:vAlign w:val="center"/>
          </w:tcPr>
          <w:p w14:paraId="405F93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w:t>
            </w:r>
          </w:p>
        </w:tc>
        <w:tc>
          <w:tcPr>
            <w:tcW w:w="501" w:type="pct"/>
            <w:tcBorders>
              <w:tl2br w:val="nil"/>
              <w:tr2bl w:val="nil"/>
            </w:tcBorders>
            <w:shd w:val="clear" w:color="auto" w:fill="auto"/>
            <w:noWrap/>
            <w:vAlign w:val="center"/>
          </w:tcPr>
          <w:p w14:paraId="65774D7A">
            <w:pPr>
              <w:jc w:val="center"/>
              <w:rPr>
                <w:rFonts w:hint="eastAsia" w:ascii="宋体" w:hAnsi="宋体" w:eastAsia="宋体" w:cs="宋体"/>
                <w:i w:val="0"/>
                <w:iCs w:val="0"/>
                <w:color w:val="000000"/>
                <w:sz w:val="20"/>
                <w:szCs w:val="20"/>
                <w:u w:val="none"/>
              </w:rPr>
            </w:pPr>
          </w:p>
        </w:tc>
      </w:tr>
      <w:tr w14:paraId="2914F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1116" w:hRule="atLeast"/>
        </w:trPr>
        <w:tc>
          <w:tcPr>
            <w:tcW w:w="401" w:type="pct"/>
            <w:vMerge w:val="continue"/>
            <w:tcBorders>
              <w:tl2br w:val="nil"/>
              <w:tr2bl w:val="nil"/>
            </w:tcBorders>
            <w:shd w:val="clear" w:color="auto" w:fill="auto"/>
            <w:vAlign w:val="center"/>
          </w:tcPr>
          <w:p w14:paraId="4E399753">
            <w:pPr>
              <w:rPr>
                <w:rFonts w:hint="eastAsia" w:ascii="宋体" w:hAnsi="宋体" w:eastAsia="宋体" w:cs="宋体"/>
                <w:i w:val="0"/>
                <w:iCs w:val="0"/>
                <w:color w:val="000000"/>
                <w:sz w:val="20"/>
                <w:szCs w:val="20"/>
                <w:u w:val="none"/>
              </w:rPr>
            </w:pPr>
          </w:p>
        </w:tc>
        <w:tc>
          <w:tcPr>
            <w:tcW w:w="456" w:type="pct"/>
            <w:vMerge w:val="continue"/>
            <w:tcBorders>
              <w:tl2br w:val="nil"/>
              <w:tr2bl w:val="nil"/>
            </w:tcBorders>
            <w:shd w:val="clear" w:color="auto" w:fill="auto"/>
            <w:noWrap/>
            <w:vAlign w:val="center"/>
          </w:tcPr>
          <w:p w14:paraId="152655F1">
            <w:pPr>
              <w:rPr>
                <w:rFonts w:hint="eastAsia" w:ascii="宋体" w:hAnsi="宋体" w:eastAsia="宋体" w:cs="宋体"/>
                <w:i w:val="0"/>
                <w:iCs w:val="0"/>
                <w:color w:val="000000"/>
                <w:sz w:val="20"/>
                <w:szCs w:val="20"/>
                <w:u w:val="none"/>
              </w:rPr>
            </w:pPr>
          </w:p>
        </w:tc>
        <w:tc>
          <w:tcPr>
            <w:tcW w:w="473" w:type="pct"/>
            <w:tcBorders>
              <w:tl2br w:val="nil"/>
              <w:tr2bl w:val="nil"/>
            </w:tcBorders>
            <w:shd w:val="clear" w:color="auto" w:fill="auto"/>
            <w:noWrap/>
            <w:vAlign w:val="center"/>
          </w:tcPr>
          <w:p w14:paraId="2AEB54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794" w:type="pct"/>
            <w:gridSpan w:val="3"/>
            <w:tcBorders>
              <w:tl2br w:val="nil"/>
              <w:tr2bl w:val="nil"/>
            </w:tcBorders>
            <w:shd w:val="clear" w:color="auto" w:fill="auto"/>
            <w:vAlign w:val="center"/>
          </w:tcPr>
          <w:p w14:paraId="4E4979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完成时间</w:t>
            </w:r>
          </w:p>
        </w:tc>
        <w:tc>
          <w:tcPr>
            <w:tcW w:w="1078" w:type="pct"/>
            <w:gridSpan w:val="2"/>
            <w:tcBorders>
              <w:tl2br w:val="nil"/>
              <w:tr2bl w:val="nil"/>
            </w:tcBorders>
            <w:shd w:val="clear" w:color="auto" w:fill="auto"/>
            <w:vAlign w:val="center"/>
          </w:tcPr>
          <w:p w14:paraId="385F1A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一年</w:t>
            </w:r>
          </w:p>
        </w:tc>
        <w:tc>
          <w:tcPr>
            <w:tcW w:w="446" w:type="pct"/>
            <w:tcBorders>
              <w:tl2br w:val="nil"/>
              <w:tr2bl w:val="nil"/>
            </w:tcBorders>
            <w:shd w:val="clear" w:color="auto" w:fill="auto"/>
            <w:vAlign w:val="center"/>
          </w:tcPr>
          <w:p w14:paraId="5F8BCE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一年</w:t>
            </w:r>
          </w:p>
        </w:tc>
        <w:tc>
          <w:tcPr>
            <w:tcW w:w="377" w:type="pct"/>
            <w:tcBorders>
              <w:tl2br w:val="nil"/>
              <w:tr2bl w:val="nil"/>
            </w:tcBorders>
            <w:shd w:val="clear" w:color="auto" w:fill="auto"/>
            <w:vAlign w:val="center"/>
          </w:tcPr>
          <w:p w14:paraId="3735B2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w:t>
            </w:r>
          </w:p>
        </w:tc>
        <w:tc>
          <w:tcPr>
            <w:tcW w:w="427" w:type="pct"/>
            <w:tcBorders>
              <w:tl2br w:val="nil"/>
              <w:tr2bl w:val="nil"/>
            </w:tcBorders>
            <w:shd w:val="clear" w:color="auto" w:fill="auto"/>
            <w:vAlign w:val="center"/>
          </w:tcPr>
          <w:p w14:paraId="0E19F5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w:t>
            </w:r>
          </w:p>
        </w:tc>
        <w:tc>
          <w:tcPr>
            <w:tcW w:w="501" w:type="pct"/>
            <w:tcBorders>
              <w:tl2br w:val="nil"/>
              <w:tr2bl w:val="nil"/>
            </w:tcBorders>
            <w:shd w:val="clear" w:color="auto" w:fill="auto"/>
            <w:noWrap/>
            <w:vAlign w:val="center"/>
          </w:tcPr>
          <w:p w14:paraId="3AB8CEF8">
            <w:pPr>
              <w:jc w:val="center"/>
              <w:rPr>
                <w:rFonts w:hint="eastAsia" w:ascii="宋体" w:hAnsi="宋体" w:eastAsia="宋体" w:cs="宋体"/>
                <w:i w:val="0"/>
                <w:iCs w:val="0"/>
                <w:color w:val="000000"/>
                <w:sz w:val="20"/>
                <w:szCs w:val="20"/>
                <w:u w:val="none"/>
              </w:rPr>
            </w:pPr>
          </w:p>
        </w:tc>
      </w:tr>
      <w:tr w14:paraId="79D72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401" w:type="pct"/>
            <w:vMerge w:val="continue"/>
            <w:tcBorders>
              <w:tl2br w:val="nil"/>
              <w:tr2bl w:val="nil"/>
            </w:tcBorders>
            <w:shd w:val="clear" w:color="auto" w:fill="auto"/>
            <w:vAlign w:val="center"/>
          </w:tcPr>
          <w:p w14:paraId="5EB27195">
            <w:pPr>
              <w:rPr>
                <w:rFonts w:hint="eastAsia" w:ascii="宋体" w:hAnsi="宋体" w:eastAsia="宋体" w:cs="宋体"/>
                <w:i w:val="0"/>
                <w:iCs w:val="0"/>
                <w:color w:val="000000"/>
                <w:sz w:val="20"/>
                <w:szCs w:val="20"/>
                <w:u w:val="none"/>
              </w:rPr>
            </w:pPr>
          </w:p>
        </w:tc>
        <w:tc>
          <w:tcPr>
            <w:tcW w:w="456" w:type="pct"/>
            <w:vMerge w:val="restart"/>
            <w:tcBorders>
              <w:tl2br w:val="nil"/>
              <w:tr2bl w:val="nil"/>
            </w:tcBorders>
            <w:shd w:val="clear" w:color="auto" w:fill="auto"/>
            <w:noWrap/>
            <w:vAlign w:val="center"/>
          </w:tcPr>
          <w:p w14:paraId="382C86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473" w:type="pct"/>
            <w:tcBorders>
              <w:tl2br w:val="nil"/>
              <w:tr2bl w:val="nil"/>
            </w:tcBorders>
            <w:shd w:val="clear" w:color="auto" w:fill="auto"/>
            <w:noWrap/>
            <w:vAlign w:val="center"/>
          </w:tcPr>
          <w:p w14:paraId="62FD0D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794" w:type="pct"/>
            <w:gridSpan w:val="3"/>
            <w:tcBorders>
              <w:tl2br w:val="nil"/>
              <w:tr2bl w:val="nil"/>
            </w:tcBorders>
            <w:shd w:val="clear" w:color="auto" w:fill="auto"/>
            <w:vAlign w:val="center"/>
          </w:tcPr>
          <w:p w14:paraId="0FB345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78" w:type="pct"/>
            <w:gridSpan w:val="2"/>
            <w:tcBorders>
              <w:tl2br w:val="nil"/>
              <w:tr2bl w:val="nil"/>
            </w:tcBorders>
            <w:shd w:val="clear" w:color="auto" w:fill="auto"/>
            <w:vAlign w:val="center"/>
          </w:tcPr>
          <w:p w14:paraId="7A517C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6" w:type="pct"/>
            <w:tcBorders>
              <w:tl2br w:val="nil"/>
              <w:tr2bl w:val="nil"/>
            </w:tcBorders>
            <w:shd w:val="clear" w:color="auto" w:fill="auto"/>
            <w:vAlign w:val="center"/>
          </w:tcPr>
          <w:p w14:paraId="6A7FEA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7" w:type="pct"/>
            <w:tcBorders>
              <w:tl2br w:val="nil"/>
              <w:tr2bl w:val="nil"/>
            </w:tcBorders>
            <w:shd w:val="clear" w:color="auto" w:fill="auto"/>
            <w:vAlign w:val="center"/>
          </w:tcPr>
          <w:p w14:paraId="380314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7" w:type="pct"/>
            <w:tcBorders>
              <w:tl2br w:val="nil"/>
              <w:tr2bl w:val="nil"/>
            </w:tcBorders>
            <w:shd w:val="clear" w:color="auto" w:fill="auto"/>
            <w:vAlign w:val="center"/>
          </w:tcPr>
          <w:p w14:paraId="7B6A93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1" w:type="pct"/>
            <w:tcBorders>
              <w:tl2br w:val="nil"/>
              <w:tr2bl w:val="nil"/>
            </w:tcBorders>
            <w:shd w:val="clear" w:color="auto" w:fill="auto"/>
            <w:noWrap/>
            <w:vAlign w:val="center"/>
          </w:tcPr>
          <w:p w14:paraId="3520765E">
            <w:pPr>
              <w:jc w:val="center"/>
              <w:rPr>
                <w:rFonts w:hint="eastAsia" w:ascii="宋体" w:hAnsi="宋体" w:eastAsia="宋体" w:cs="宋体"/>
                <w:i w:val="0"/>
                <w:iCs w:val="0"/>
                <w:color w:val="000000"/>
                <w:sz w:val="20"/>
                <w:szCs w:val="20"/>
                <w:u w:val="none"/>
              </w:rPr>
            </w:pPr>
          </w:p>
        </w:tc>
      </w:tr>
      <w:tr w14:paraId="3BB7F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401" w:type="pct"/>
            <w:vMerge w:val="continue"/>
            <w:tcBorders>
              <w:tl2br w:val="nil"/>
              <w:tr2bl w:val="nil"/>
            </w:tcBorders>
            <w:shd w:val="clear" w:color="auto" w:fill="auto"/>
            <w:vAlign w:val="center"/>
          </w:tcPr>
          <w:p w14:paraId="76AC713B">
            <w:pPr>
              <w:rPr>
                <w:rFonts w:hint="eastAsia" w:ascii="宋体" w:hAnsi="宋体" w:eastAsia="宋体" w:cs="宋体"/>
                <w:i w:val="0"/>
                <w:iCs w:val="0"/>
                <w:color w:val="000000"/>
                <w:sz w:val="20"/>
                <w:szCs w:val="20"/>
                <w:u w:val="none"/>
              </w:rPr>
            </w:pPr>
          </w:p>
        </w:tc>
        <w:tc>
          <w:tcPr>
            <w:tcW w:w="456" w:type="pct"/>
            <w:vMerge w:val="continue"/>
            <w:tcBorders>
              <w:tl2br w:val="nil"/>
              <w:tr2bl w:val="nil"/>
            </w:tcBorders>
            <w:shd w:val="clear" w:color="auto" w:fill="auto"/>
            <w:noWrap/>
            <w:vAlign w:val="center"/>
          </w:tcPr>
          <w:p w14:paraId="529A8AA2">
            <w:pPr>
              <w:rPr>
                <w:rFonts w:hint="eastAsia" w:ascii="宋体" w:hAnsi="宋体" w:eastAsia="宋体" w:cs="宋体"/>
                <w:i w:val="0"/>
                <w:iCs w:val="0"/>
                <w:color w:val="000000"/>
                <w:sz w:val="20"/>
                <w:szCs w:val="20"/>
                <w:u w:val="none"/>
              </w:rPr>
            </w:pPr>
          </w:p>
        </w:tc>
        <w:tc>
          <w:tcPr>
            <w:tcW w:w="473" w:type="pct"/>
            <w:vMerge w:val="restart"/>
            <w:tcBorders>
              <w:tl2br w:val="nil"/>
              <w:tr2bl w:val="nil"/>
            </w:tcBorders>
            <w:shd w:val="clear" w:color="auto" w:fill="auto"/>
            <w:noWrap/>
            <w:vAlign w:val="center"/>
          </w:tcPr>
          <w:p w14:paraId="3B1FED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794" w:type="pct"/>
            <w:gridSpan w:val="3"/>
            <w:tcBorders>
              <w:tl2br w:val="nil"/>
              <w:tr2bl w:val="nil"/>
            </w:tcBorders>
            <w:shd w:val="clear" w:color="auto" w:fill="auto"/>
            <w:vAlign w:val="center"/>
          </w:tcPr>
          <w:p w14:paraId="6D1CDC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巡察工作社会知晓率</w:t>
            </w:r>
          </w:p>
        </w:tc>
        <w:tc>
          <w:tcPr>
            <w:tcW w:w="1078" w:type="pct"/>
            <w:gridSpan w:val="2"/>
            <w:tcBorders>
              <w:tl2br w:val="nil"/>
              <w:tr2bl w:val="nil"/>
            </w:tcBorders>
            <w:shd w:val="clear" w:color="auto" w:fill="auto"/>
            <w:vAlign w:val="center"/>
          </w:tcPr>
          <w:p w14:paraId="2C19AF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≥90%</w:t>
            </w:r>
          </w:p>
        </w:tc>
        <w:tc>
          <w:tcPr>
            <w:tcW w:w="446" w:type="pct"/>
            <w:tcBorders>
              <w:tl2br w:val="nil"/>
              <w:tr2bl w:val="nil"/>
            </w:tcBorders>
            <w:shd w:val="clear" w:color="auto" w:fill="auto"/>
            <w:vAlign w:val="center"/>
          </w:tcPr>
          <w:p w14:paraId="6FFC72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90%</w:t>
            </w:r>
          </w:p>
        </w:tc>
        <w:tc>
          <w:tcPr>
            <w:tcW w:w="377" w:type="pct"/>
            <w:tcBorders>
              <w:tl2br w:val="nil"/>
              <w:tr2bl w:val="nil"/>
            </w:tcBorders>
            <w:shd w:val="clear" w:color="auto" w:fill="auto"/>
            <w:vAlign w:val="center"/>
          </w:tcPr>
          <w:p w14:paraId="519F6D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w:t>
            </w:r>
          </w:p>
        </w:tc>
        <w:tc>
          <w:tcPr>
            <w:tcW w:w="427" w:type="pct"/>
            <w:tcBorders>
              <w:tl2br w:val="nil"/>
              <w:tr2bl w:val="nil"/>
            </w:tcBorders>
            <w:shd w:val="clear" w:color="auto" w:fill="auto"/>
            <w:vAlign w:val="center"/>
          </w:tcPr>
          <w:p w14:paraId="2DAD05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w:t>
            </w:r>
          </w:p>
        </w:tc>
        <w:tc>
          <w:tcPr>
            <w:tcW w:w="501" w:type="pct"/>
            <w:tcBorders>
              <w:tl2br w:val="nil"/>
              <w:tr2bl w:val="nil"/>
            </w:tcBorders>
            <w:shd w:val="clear" w:color="auto" w:fill="auto"/>
            <w:noWrap/>
            <w:vAlign w:val="center"/>
          </w:tcPr>
          <w:p w14:paraId="128E86AC">
            <w:pPr>
              <w:jc w:val="center"/>
              <w:rPr>
                <w:rFonts w:hint="eastAsia" w:ascii="宋体" w:hAnsi="宋体" w:eastAsia="宋体" w:cs="宋体"/>
                <w:i w:val="0"/>
                <w:iCs w:val="0"/>
                <w:color w:val="000000"/>
                <w:sz w:val="20"/>
                <w:szCs w:val="20"/>
                <w:u w:val="none"/>
              </w:rPr>
            </w:pPr>
          </w:p>
        </w:tc>
      </w:tr>
      <w:tr w14:paraId="0F8F0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401" w:type="pct"/>
            <w:vMerge w:val="continue"/>
            <w:tcBorders>
              <w:tl2br w:val="nil"/>
              <w:tr2bl w:val="nil"/>
            </w:tcBorders>
            <w:shd w:val="clear" w:color="auto" w:fill="auto"/>
            <w:vAlign w:val="center"/>
          </w:tcPr>
          <w:p w14:paraId="14208DBB">
            <w:pPr>
              <w:rPr>
                <w:rFonts w:hint="eastAsia" w:ascii="宋体" w:hAnsi="宋体" w:eastAsia="宋体" w:cs="宋体"/>
                <w:i w:val="0"/>
                <w:iCs w:val="0"/>
                <w:color w:val="000000"/>
                <w:sz w:val="20"/>
                <w:szCs w:val="20"/>
                <w:u w:val="none"/>
              </w:rPr>
            </w:pPr>
          </w:p>
        </w:tc>
        <w:tc>
          <w:tcPr>
            <w:tcW w:w="456" w:type="pct"/>
            <w:vMerge w:val="continue"/>
            <w:tcBorders>
              <w:tl2br w:val="nil"/>
              <w:tr2bl w:val="nil"/>
            </w:tcBorders>
            <w:shd w:val="clear" w:color="auto" w:fill="auto"/>
            <w:noWrap/>
            <w:vAlign w:val="center"/>
          </w:tcPr>
          <w:p w14:paraId="25FBBE92">
            <w:pPr>
              <w:rPr>
                <w:rFonts w:hint="eastAsia" w:ascii="宋体" w:hAnsi="宋体" w:eastAsia="宋体" w:cs="宋体"/>
                <w:i w:val="0"/>
                <w:iCs w:val="0"/>
                <w:color w:val="000000"/>
                <w:sz w:val="20"/>
                <w:szCs w:val="20"/>
                <w:u w:val="none"/>
              </w:rPr>
            </w:pPr>
          </w:p>
        </w:tc>
        <w:tc>
          <w:tcPr>
            <w:tcW w:w="473" w:type="pct"/>
            <w:vMerge w:val="continue"/>
            <w:tcBorders>
              <w:tl2br w:val="nil"/>
              <w:tr2bl w:val="nil"/>
            </w:tcBorders>
            <w:shd w:val="clear" w:color="auto" w:fill="auto"/>
            <w:noWrap/>
            <w:vAlign w:val="center"/>
          </w:tcPr>
          <w:p w14:paraId="02644D8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489" w:type="dxa"/>
            <w:gridSpan w:val="3"/>
            <w:tcBorders>
              <w:tl2br w:val="nil"/>
              <w:tr2bl w:val="nil"/>
            </w:tcBorders>
            <w:shd w:val="clear" w:color="auto" w:fill="auto"/>
            <w:vAlign w:val="center"/>
          </w:tcPr>
          <w:p w14:paraId="445FF8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民众及党员干部关注了解巡察各类成果，发挥巡察震慑作用</w:t>
            </w:r>
          </w:p>
        </w:tc>
        <w:tc>
          <w:tcPr>
            <w:tcW w:w="2021" w:type="dxa"/>
            <w:gridSpan w:val="2"/>
            <w:tcBorders>
              <w:tl2br w:val="nil"/>
              <w:tr2bl w:val="nil"/>
            </w:tcBorders>
            <w:shd w:val="clear" w:color="auto" w:fill="auto"/>
            <w:vAlign w:val="center"/>
          </w:tcPr>
          <w:p w14:paraId="7925FF5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明显提高</w:t>
            </w:r>
          </w:p>
        </w:tc>
        <w:tc>
          <w:tcPr>
            <w:tcW w:w="837" w:type="dxa"/>
            <w:tcBorders>
              <w:tl2br w:val="nil"/>
              <w:tr2bl w:val="nil"/>
            </w:tcBorders>
            <w:shd w:val="clear" w:color="auto" w:fill="auto"/>
            <w:vAlign w:val="center"/>
          </w:tcPr>
          <w:p w14:paraId="08945E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明显提高</w:t>
            </w:r>
          </w:p>
        </w:tc>
        <w:tc>
          <w:tcPr>
            <w:tcW w:w="708" w:type="dxa"/>
            <w:tcBorders>
              <w:tl2br w:val="nil"/>
              <w:tr2bl w:val="nil"/>
            </w:tcBorders>
            <w:shd w:val="clear" w:color="auto" w:fill="auto"/>
            <w:vAlign w:val="center"/>
          </w:tcPr>
          <w:p w14:paraId="3FC2A8F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w:t>
            </w:r>
          </w:p>
        </w:tc>
        <w:tc>
          <w:tcPr>
            <w:tcW w:w="800" w:type="dxa"/>
            <w:tcBorders>
              <w:tl2br w:val="nil"/>
              <w:tr2bl w:val="nil"/>
            </w:tcBorders>
            <w:shd w:val="clear" w:color="auto" w:fill="auto"/>
            <w:vAlign w:val="center"/>
          </w:tcPr>
          <w:p w14:paraId="2580EE1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w:t>
            </w:r>
          </w:p>
        </w:tc>
        <w:tc>
          <w:tcPr>
            <w:tcW w:w="501" w:type="pct"/>
            <w:tcBorders>
              <w:tl2br w:val="nil"/>
              <w:tr2bl w:val="nil"/>
            </w:tcBorders>
            <w:shd w:val="clear" w:color="auto" w:fill="auto"/>
            <w:noWrap/>
            <w:vAlign w:val="center"/>
          </w:tcPr>
          <w:p w14:paraId="32726738">
            <w:pPr>
              <w:jc w:val="center"/>
              <w:rPr>
                <w:rFonts w:hint="eastAsia" w:ascii="宋体" w:hAnsi="宋体" w:eastAsia="宋体" w:cs="宋体"/>
                <w:i w:val="0"/>
                <w:iCs w:val="0"/>
                <w:color w:val="000000"/>
                <w:sz w:val="20"/>
                <w:szCs w:val="20"/>
                <w:u w:val="none"/>
              </w:rPr>
            </w:pPr>
          </w:p>
        </w:tc>
      </w:tr>
      <w:tr w14:paraId="75625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401" w:type="pct"/>
            <w:vMerge w:val="continue"/>
            <w:tcBorders>
              <w:tl2br w:val="nil"/>
              <w:tr2bl w:val="nil"/>
            </w:tcBorders>
            <w:shd w:val="clear" w:color="auto" w:fill="auto"/>
            <w:vAlign w:val="center"/>
          </w:tcPr>
          <w:p w14:paraId="7DCD4C22">
            <w:pPr>
              <w:rPr>
                <w:rFonts w:hint="eastAsia" w:ascii="宋体" w:hAnsi="宋体" w:eastAsia="宋体" w:cs="宋体"/>
                <w:i w:val="0"/>
                <w:iCs w:val="0"/>
                <w:color w:val="000000"/>
                <w:sz w:val="20"/>
                <w:szCs w:val="20"/>
                <w:u w:val="none"/>
              </w:rPr>
            </w:pPr>
          </w:p>
        </w:tc>
        <w:tc>
          <w:tcPr>
            <w:tcW w:w="456" w:type="pct"/>
            <w:vMerge w:val="continue"/>
            <w:tcBorders>
              <w:tl2br w:val="nil"/>
              <w:tr2bl w:val="nil"/>
            </w:tcBorders>
            <w:shd w:val="clear" w:color="auto" w:fill="auto"/>
            <w:noWrap/>
            <w:vAlign w:val="center"/>
          </w:tcPr>
          <w:p w14:paraId="1D061A04">
            <w:pPr>
              <w:rPr>
                <w:rFonts w:hint="eastAsia" w:ascii="宋体" w:hAnsi="宋体" w:eastAsia="宋体" w:cs="宋体"/>
                <w:i w:val="0"/>
                <w:iCs w:val="0"/>
                <w:color w:val="000000"/>
                <w:sz w:val="20"/>
                <w:szCs w:val="20"/>
                <w:u w:val="none"/>
              </w:rPr>
            </w:pPr>
          </w:p>
        </w:tc>
        <w:tc>
          <w:tcPr>
            <w:tcW w:w="473" w:type="pct"/>
            <w:tcBorders>
              <w:tl2br w:val="nil"/>
              <w:tr2bl w:val="nil"/>
            </w:tcBorders>
            <w:shd w:val="clear" w:color="auto" w:fill="auto"/>
            <w:noWrap/>
            <w:vAlign w:val="center"/>
          </w:tcPr>
          <w:p w14:paraId="499E60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794" w:type="pct"/>
            <w:gridSpan w:val="3"/>
            <w:tcBorders>
              <w:tl2br w:val="nil"/>
              <w:tr2bl w:val="nil"/>
            </w:tcBorders>
            <w:shd w:val="clear" w:color="auto" w:fill="auto"/>
            <w:vAlign w:val="center"/>
          </w:tcPr>
          <w:p w14:paraId="6EA391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78" w:type="pct"/>
            <w:gridSpan w:val="2"/>
            <w:tcBorders>
              <w:tl2br w:val="nil"/>
              <w:tr2bl w:val="nil"/>
            </w:tcBorders>
            <w:shd w:val="clear" w:color="auto" w:fill="auto"/>
            <w:vAlign w:val="center"/>
          </w:tcPr>
          <w:p w14:paraId="45732E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6" w:type="pct"/>
            <w:tcBorders>
              <w:tl2br w:val="nil"/>
              <w:tr2bl w:val="nil"/>
            </w:tcBorders>
            <w:shd w:val="clear" w:color="auto" w:fill="auto"/>
            <w:vAlign w:val="center"/>
          </w:tcPr>
          <w:p w14:paraId="7D4D0B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7" w:type="pct"/>
            <w:tcBorders>
              <w:tl2br w:val="nil"/>
              <w:tr2bl w:val="nil"/>
            </w:tcBorders>
            <w:shd w:val="clear" w:color="auto" w:fill="auto"/>
            <w:vAlign w:val="center"/>
          </w:tcPr>
          <w:p w14:paraId="1FA9F3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7" w:type="pct"/>
            <w:tcBorders>
              <w:tl2br w:val="nil"/>
              <w:tr2bl w:val="nil"/>
            </w:tcBorders>
            <w:shd w:val="clear" w:color="auto" w:fill="auto"/>
            <w:vAlign w:val="center"/>
          </w:tcPr>
          <w:p w14:paraId="240D93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1" w:type="pct"/>
            <w:tcBorders>
              <w:tl2br w:val="nil"/>
              <w:tr2bl w:val="nil"/>
            </w:tcBorders>
            <w:shd w:val="clear" w:color="auto" w:fill="auto"/>
            <w:noWrap/>
            <w:vAlign w:val="center"/>
          </w:tcPr>
          <w:p w14:paraId="064E48DA">
            <w:pPr>
              <w:jc w:val="center"/>
              <w:rPr>
                <w:rFonts w:hint="eastAsia" w:ascii="宋体" w:hAnsi="宋体" w:eastAsia="宋体" w:cs="宋体"/>
                <w:i w:val="0"/>
                <w:iCs w:val="0"/>
                <w:color w:val="000000"/>
                <w:sz w:val="20"/>
                <w:szCs w:val="20"/>
                <w:u w:val="none"/>
              </w:rPr>
            </w:pPr>
          </w:p>
        </w:tc>
      </w:tr>
      <w:tr w14:paraId="38AC4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401" w:type="pct"/>
            <w:vMerge w:val="continue"/>
            <w:tcBorders>
              <w:tl2br w:val="nil"/>
              <w:tr2bl w:val="nil"/>
            </w:tcBorders>
            <w:shd w:val="clear" w:color="auto" w:fill="auto"/>
            <w:vAlign w:val="center"/>
          </w:tcPr>
          <w:p w14:paraId="1C30B581">
            <w:pPr>
              <w:rPr>
                <w:rFonts w:hint="eastAsia" w:ascii="宋体" w:hAnsi="宋体" w:eastAsia="宋体" w:cs="宋体"/>
                <w:i w:val="0"/>
                <w:iCs w:val="0"/>
                <w:color w:val="000000"/>
                <w:sz w:val="20"/>
                <w:szCs w:val="20"/>
                <w:u w:val="none"/>
              </w:rPr>
            </w:pPr>
          </w:p>
        </w:tc>
        <w:tc>
          <w:tcPr>
            <w:tcW w:w="456" w:type="pct"/>
            <w:vMerge w:val="continue"/>
            <w:tcBorders>
              <w:tl2br w:val="nil"/>
              <w:tr2bl w:val="nil"/>
            </w:tcBorders>
            <w:shd w:val="clear" w:color="auto" w:fill="auto"/>
            <w:noWrap/>
            <w:vAlign w:val="center"/>
          </w:tcPr>
          <w:p w14:paraId="707851E2">
            <w:pPr>
              <w:rPr>
                <w:rFonts w:hint="eastAsia" w:ascii="宋体" w:hAnsi="宋体" w:eastAsia="宋体" w:cs="宋体"/>
                <w:i w:val="0"/>
                <w:iCs w:val="0"/>
                <w:color w:val="000000"/>
                <w:sz w:val="20"/>
                <w:szCs w:val="20"/>
                <w:u w:val="none"/>
              </w:rPr>
            </w:pPr>
          </w:p>
        </w:tc>
        <w:tc>
          <w:tcPr>
            <w:tcW w:w="473" w:type="pct"/>
            <w:tcBorders>
              <w:tl2br w:val="nil"/>
              <w:tr2bl w:val="nil"/>
            </w:tcBorders>
            <w:shd w:val="clear" w:color="auto" w:fill="auto"/>
            <w:noWrap/>
            <w:vAlign w:val="center"/>
          </w:tcPr>
          <w:p w14:paraId="3E2101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794" w:type="pct"/>
            <w:gridSpan w:val="3"/>
            <w:tcBorders>
              <w:tl2br w:val="nil"/>
              <w:tr2bl w:val="nil"/>
            </w:tcBorders>
            <w:shd w:val="clear" w:color="auto" w:fill="auto"/>
            <w:vAlign w:val="center"/>
          </w:tcPr>
          <w:p w14:paraId="7E1F2E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78" w:type="pct"/>
            <w:gridSpan w:val="2"/>
            <w:tcBorders>
              <w:tl2br w:val="nil"/>
              <w:tr2bl w:val="nil"/>
            </w:tcBorders>
            <w:shd w:val="clear" w:color="auto" w:fill="auto"/>
            <w:vAlign w:val="center"/>
          </w:tcPr>
          <w:p w14:paraId="4ADAEF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6" w:type="pct"/>
            <w:tcBorders>
              <w:tl2br w:val="nil"/>
              <w:tr2bl w:val="nil"/>
            </w:tcBorders>
            <w:shd w:val="clear" w:color="auto" w:fill="auto"/>
            <w:vAlign w:val="center"/>
          </w:tcPr>
          <w:p w14:paraId="272706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7" w:type="pct"/>
            <w:tcBorders>
              <w:tl2br w:val="nil"/>
              <w:tr2bl w:val="nil"/>
            </w:tcBorders>
            <w:shd w:val="clear" w:color="auto" w:fill="auto"/>
            <w:vAlign w:val="center"/>
          </w:tcPr>
          <w:p w14:paraId="79FC59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7" w:type="pct"/>
            <w:tcBorders>
              <w:tl2br w:val="nil"/>
              <w:tr2bl w:val="nil"/>
            </w:tcBorders>
            <w:shd w:val="clear" w:color="auto" w:fill="auto"/>
            <w:vAlign w:val="center"/>
          </w:tcPr>
          <w:p w14:paraId="7E8CCA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1" w:type="pct"/>
            <w:tcBorders>
              <w:tl2br w:val="nil"/>
              <w:tr2bl w:val="nil"/>
            </w:tcBorders>
            <w:shd w:val="clear" w:color="auto" w:fill="auto"/>
            <w:noWrap/>
            <w:vAlign w:val="center"/>
          </w:tcPr>
          <w:p w14:paraId="53490A64">
            <w:pPr>
              <w:jc w:val="center"/>
              <w:rPr>
                <w:rFonts w:hint="eastAsia" w:ascii="宋体" w:hAnsi="宋体" w:eastAsia="宋体" w:cs="宋体"/>
                <w:i w:val="0"/>
                <w:iCs w:val="0"/>
                <w:color w:val="000000"/>
                <w:sz w:val="20"/>
                <w:szCs w:val="20"/>
                <w:u w:val="none"/>
              </w:rPr>
            </w:pPr>
          </w:p>
        </w:tc>
      </w:tr>
      <w:tr w14:paraId="26F64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401" w:type="pct"/>
            <w:vMerge w:val="continue"/>
            <w:tcBorders>
              <w:tl2br w:val="nil"/>
              <w:tr2bl w:val="nil"/>
            </w:tcBorders>
            <w:shd w:val="clear" w:color="auto" w:fill="auto"/>
            <w:vAlign w:val="center"/>
          </w:tcPr>
          <w:p w14:paraId="039D27A8">
            <w:pPr>
              <w:rPr>
                <w:rFonts w:hint="eastAsia" w:ascii="宋体" w:hAnsi="宋体" w:eastAsia="宋体" w:cs="宋体"/>
                <w:i w:val="0"/>
                <w:iCs w:val="0"/>
                <w:color w:val="000000"/>
                <w:sz w:val="20"/>
                <w:szCs w:val="20"/>
                <w:u w:val="none"/>
              </w:rPr>
            </w:pPr>
          </w:p>
        </w:tc>
        <w:tc>
          <w:tcPr>
            <w:tcW w:w="456" w:type="pct"/>
            <w:tcBorders>
              <w:tl2br w:val="nil"/>
              <w:tr2bl w:val="nil"/>
            </w:tcBorders>
            <w:shd w:val="clear" w:color="auto" w:fill="auto"/>
            <w:noWrap/>
            <w:vAlign w:val="center"/>
          </w:tcPr>
          <w:p w14:paraId="7D6881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473" w:type="pct"/>
            <w:tcBorders>
              <w:tl2br w:val="nil"/>
              <w:tr2bl w:val="nil"/>
            </w:tcBorders>
            <w:shd w:val="clear" w:color="auto" w:fill="auto"/>
            <w:noWrap/>
            <w:vAlign w:val="center"/>
          </w:tcPr>
          <w:p w14:paraId="047EEF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794" w:type="pct"/>
            <w:gridSpan w:val="3"/>
            <w:tcBorders>
              <w:tl2br w:val="nil"/>
              <w:tr2bl w:val="nil"/>
            </w:tcBorders>
            <w:shd w:val="clear" w:color="auto" w:fill="auto"/>
            <w:vAlign w:val="center"/>
          </w:tcPr>
          <w:p w14:paraId="6354F8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社会群众对巡察工作满意度</w:t>
            </w:r>
          </w:p>
        </w:tc>
        <w:tc>
          <w:tcPr>
            <w:tcW w:w="1078" w:type="pct"/>
            <w:gridSpan w:val="2"/>
            <w:tcBorders>
              <w:tl2br w:val="nil"/>
              <w:tr2bl w:val="nil"/>
            </w:tcBorders>
            <w:shd w:val="clear" w:color="auto" w:fill="auto"/>
            <w:vAlign w:val="center"/>
          </w:tcPr>
          <w:p w14:paraId="560955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≥85%</w:t>
            </w:r>
          </w:p>
        </w:tc>
        <w:tc>
          <w:tcPr>
            <w:tcW w:w="446" w:type="pct"/>
            <w:tcBorders>
              <w:tl2br w:val="nil"/>
              <w:tr2bl w:val="nil"/>
            </w:tcBorders>
            <w:shd w:val="clear" w:color="auto" w:fill="auto"/>
            <w:vAlign w:val="center"/>
          </w:tcPr>
          <w:p w14:paraId="030F19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95%</w:t>
            </w:r>
          </w:p>
        </w:tc>
        <w:tc>
          <w:tcPr>
            <w:tcW w:w="377" w:type="pct"/>
            <w:tcBorders>
              <w:tl2br w:val="nil"/>
              <w:tr2bl w:val="nil"/>
            </w:tcBorders>
            <w:shd w:val="clear" w:color="auto" w:fill="auto"/>
            <w:vAlign w:val="center"/>
          </w:tcPr>
          <w:p w14:paraId="0A4696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w:t>
            </w:r>
          </w:p>
        </w:tc>
        <w:tc>
          <w:tcPr>
            <w:tcW w:w="427" w:type="pct"/>
            <w:tcBorders>
              <w:tl2br w:val="nil"/>
              <w:tr2bl w:val="nil"/>
            </w:tcBorders>
            <w:shd w:val="clear" w:color="auto" w:fill="auto"/>
            <w:vAlign w:val="center"/>
          </w:tcPr>
          <w:p w14:paraId="78D41A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w:t>
            </w:r>
          </w:p>
        </w:tc>
        <w:tc>
          <w:tcPr>
            <w:tcW w:w="501" w:type="pct"/>
            <w:tcBorders>
              <w:tl2br w:val="nil"/>
              <w:tr2bl w:val="nil"/>
            </w:tcBorders>
            <w:shd w:val="clear" w:color="auto" w:fill="auto"/>
            <w:noWrap/>
            <w:vAlign w:val="center"/>
          </w:tcPr>
          <w:p w14:paraId="440DD1AC">
            <w:pPr>
              <w:jc w:val="center"/>
              <w:rPr>
                <w:rFonts w:hint="eastAsia" w:ascii="宋体" w:hAnsi="宋体" w:eastAsia="宋体" w:cs="宋体"/>
                <w:i w:val="0"/>
                <w:iCs w:val="0"/>
                <w:color w:val="000000"/>
                <w:sz w:val="20"/>
                <w:szCs w:val="20"/>
                <w:u w:val="none"/>
              </w:rPr>
            </w:pPr>
          </w:p>
        </w:tc>
      </w:tr>
      <w:tr w14:paraId="1AEC4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401" w:type="pct"/>
            <w:vMerge w:val="continue"/>
            <w:tcBorders>
              <w:tl2br w:val="nil"/>
              <w:tr2bl w:val="nil"/>
            </w:tcBorders>
            <w:shd w:val="clear" w:color="auto" w:fill="auto"/>
            <w:vAlign w:val="center"/>
          </w:tcPr>
          <w:p w14:paraId="0025C9A7">
            <w:pPr>
              <w:rPr>
                <w:rFonts w:hint="eastAsia" w:ascii="宋体" w:hAnsi="宋体" w:eastAsia="宋体" w:cs="宋体"/>
                <w:i w:val="0"/>
                <w:iCs w:val="0"/>
                <w:color w:val="000000"/>
                <w:sz w:val="20"/>
                <w:szCs w:val="20"/>
                <w:u w:val="none"/>
              </w:rPr>
            </w:pPr>
          </w:p>
        </w:tc>
        <w:tc>
          <w:tcPr>
            <w:tcW w:w="456" w:type="pct"/>
            <w:vMerge w:val="restart"/>
            <w:tcBorders>
              <w:tl2br w:val="nil"/>
              <w:tr2bl w:val="nil"/>
            </w:tcBorders>
            <w:shd w:val="clear" w:color="auto" w:fill="auto"/>
            <w:noWrap/>
            <w:vAlign w:val="center"/>
          </w:tcPr>
          <w:p w14:paraId="0334F8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473" w:type="pct"/>
            <w:tcBorders>
              <w:tl2br w:val="nil"/>
              <w:tr2bl w:val="nil"/>
            </w:tcBorders>
            <w:shd w:val="clear" w:color="auto" w:fill="auto"/>
            <w:noWrap/>
            <w:vAlign w:val="center"/>
          </w:tcPr>
          <w:p w14:paraId="1D08BD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794" w:type="pct"/>
            <w:gridSpan w:val="3"/>
            <w:tcBorders>
              <w:tl2br w:val="nil"/>
              <w:tr2bl w:val="nil"/>
            </w:tcBorders>
            <w:shd w:val="clear" w:color="auto" w:fill="auto"/>
            <w:vAlign w:val="center"/>
          </w:tcPr>
          <w:p w14:paraId="4037C8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预算控制数</w:t>
            </w:r>
          </w:p>
        </w:tc>
        <w:tc>
          <w:tcPr>
            <w:tcW w:w="1078" w:type="pct"/>
            <w:gridSpan w:val="2"/>
            <w:tcBorders>
              <w:tl2br w:val="nil"/>
              <w:tr2bl w:val="nil"/>
            </w:tcBorders>
            <w:shd w:val="clear" w:color="auto" w:fill="auto"/>
            <w:vAlign w:val="center"/>
          </w:tcPr>
          <w:p w14:paraId="5CDA54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≤279.27万元</w:t>
            </w:r>
          </w:p>
        </w:tc>
        <w:tc>
          <w:tcPr>
            <w:tcW w:w="446" w:type="pct"/>
            <w:tcBorders>
              <w:tl2br w:val="nil"/>
              <w:tr2bl w:val="nil"/>
            </w:tcBorders>
            <w:shd w:val="clear" w:color="auto" w:fill="auto"/>
            <w:vAlign w:val="center"/>
          </w:tcPr>
          <w:p w14:paraId="65F0B6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279.27万元</w:t>
            </w:r>
          </w:p>
        </w:tc>
        <w:tc>
          <w:tcPr>
            <w:tcW w:w="377" w:type="pct"/>
            <w:tcBorders>
              <w:tl2br w:val="nil"/>
              <w:tr2bl w:val="nil"/>
            </w:tcBorders>
            <w:shd w:val="clear" w:color="auto" w:fill="auto"/>
            <w:vAlign w:val="center"/>
          </w:tcPr>
          <w:p w14:paraId="45EDA4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w:t>
            </w:r>
          </w:p>
        </w:tc>
        <w:tc>
          <w:tcPr>
            <w:tcW w:w="427" w:type="pct"/>
            <w:tcBorders>
              <w:tl2br w:val="nil"/>
              <w:tr2bl w:val="nil"/>
            </w:tcBorders>
            <w:shd w:val="clear" w:color="auto" w:fill="auto"/>
            <w:vAlign w:val="center"/>
          </w:tcPr>
          <w:p w14:paraId="711F4A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w:t>
            </w:r>
          </w:p>
        </w:tc>
        <w:tc>
          <w:tcPr>
            <w:tcW w:w="501" w:type="pct"/>
            <w:tcBorders>
              <w:tl2br w:val="nil"/>
              <w:tr2bl w:val="nil"/>
            </w:tcBorders>
            <w:shd w:val="clear" w:color="auto" w:fill="auto"/>
            <w:noWrap/>
            <w:vAlign w:val="center"/>
          </w:tcPr>
          <w:p w14:paraId="6D14C50C">
            <w:pPr>
              <w:jc w:val="center"/>
              <w:rPr>
                <w:rFonts w:hint="eastAsia" w:ascii="宋体" w:hAnsi="宋体" w:eastAsia="宋体" w:cs="宋体"/>
                <w:i w:val="0"/>
                <w:iCs w:val="0"/>
                <w:color w:val="000000"/>
                <w:sz w:val="20"/>
                <w:szCs w:val="20"/>
                <w:u w:val="none"/>
              </w:rPr>
            </w:pPr>
          </w:p>
        </w:tc>
      </w:tr>
      <w:tr w14:paraId="2D5D2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401" w:type="pct"/>
            <w:vMerge w:val="continue"/>
            <w:tcBorders>
              <w:tl2br w:val="nil"/>
              <w:tr2bl w:val="nil"/>
            </w:tcBorders>
            <w:shd w:val="clear" w:color="auto" w:fill="auto"/>
            <w:vAlign w:val="center"/>
          </w:tcPr>
          <w:p w14:paraId="35ECFFFF">
            <w:pPr>
              <w:rPr>
                <w:rFonts w:hint="eastAsia" w:ascii="宋体" w:hAnsi="宋体" w:eastAsia="宋体" w:cs="宋体"/>
                <w:i w:val="0"/>
                <w:iCs w:val="0"/>
                <w:color w:val="000000"/>
                <w:sz w:val="20"/>
                <w:szCs w:val="20"/>
                <w:u w:val="none"/>
              </w:rPr>
            </w:pPr>
          </w:p>
        </w:tc>
        <w:tc>
          <w:tcPr>
            <w:tcW w:w="456" w:type="pct"/>
            <w:vMerge w:val="continue"/>
            <w:tcBorders>
              <w:tl2br w:val="nil"/>
              <w:tr2bl w:val="nil"/>
            </w:tcBorders>
            <w:shd w:val="clear" w:color="auto" w:fill="auto"/>
            <w:noWrap/>
            <w:vAlign w:val="center"/>
          </w:tcPr>
          <w:p w14:paraId="1883AEFF">
            <w:pPr>
              <w:rPr>
                <w:rFonts w:hint="eastAsia" w:ascii="宋体" w:hAnsi="宋体" w:eastAsia="宋体" w:cs="宋体"/>
                <w:i w:val="0"/>
                <w:iCs w:val="0"/>
                <w:color w:val="000000"/>
                <w:sz w:val="20"/>
                <w:szCs w:val="20"/>
                <w:u w:val="none"/>
              </w:rPr>
            </w:pPr>
          </w:p>
        </w:tc>
        <w:tc>
          <w:tcPr>
            <w:tcW w:w="473" w:type="pct"/>
            <w:tcBorders>
              <w:tl2br w:val="nil"/>
              <w:tr2bl w:val="nil"/>
            </w:tcBorders>
            <w:shd w:val="clear" w:color="auto" w:fill="auto"/>
            <w:noWrap/>
            <w:vAlign w:val="center"/>
          </w:tcPr>
          <w:p w14:paraId="2F8577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社会成本指标</w:t>
            </w:r>
          </w:p>
        </w:tc>
        <w:tc>
          <w:tcPr>
            <w:tcW w:w="794" w:type="pct"/>
            <w:gridSpan w:val="3"/>
            <w:tcBorders>
              <w:tl2br w:val="nil"/>
              <w:tr2bl w:val="nil"/>
            </w:tcBorders>
            <w:shd w:val="clear" w:color="auto" w:fill="auto"/>
            <w:vAlign w:val="center"/>
          </w:tcPr>
          <w:p w14:paraId="15354801">
            <w:pPr>
              <w:jc w:val="center"/>
              <w:rPr>
                <w:rFonts w:hint="eastAsia" w:ascii="宋体" w:hAnsi="宋体" w:eastAsia="宋体" w:cs="宋体"/>
                <w:i w:val="0"/>
                <w:iCs w:val="0"/>
                <w:color w:val="000000"/>
                <w:sz w:val="20"/>
                <w:szCs w:val="20"/>
                <w:u w:val="none"/>
              </w:rPr>
            </w:pPr>
          </w:p>
        </w:tc>
        <w:tc>
          <w:tcPr>
            <w:tcW w:w="1078" w:type="pct"/>
            <w:gridSpan w:val="2"/>
            <w:tcBorders>
              <w:tl2br w:val="nil"/>
              <w:tr2bl w:val="nil"/>
            </w:tcBorders>
            <w:shd w:val="clear" w:color="auto" w:fill="auto"/>
            <w:vAlign w:val="center"/>
          </w:tcPr>
          <w:p w14:paraId="66693C3B">
            <w:pPr>
              <w:jc w:val="center"/>
              <w:rPr>
                <w:rFonts w:hint="eastAsia" w:ascii="宋体" w:hAnsi="宋体" w:eastAsia="宋体" w:cs="宋体"/>
                <w:i w:val="0"/>
                <w:iCs w:val="0"/>
                <w:color w:val="000000"/>
                <w:sz w:val="20"/>
                <w:szCs w:val="20"/>
                <w:u w:val="none"/>
              </w:rPr>
            </w:pPr>
          </w:p>
        </w:tc>
        <w:tc>
          <w:tcPr>
            <w:tcW w:w="446" w:type="pct"/>
            <w:tcBorders>
              <w:tl2br w:val="nil"/>
              <w:tr2bl w:val="nil"/>
            </w:tcBorders>
            <w:shd w:val="clear" w:color="auto" w:fill="auto"/>
            <w:vAlign w:val="center"/>
          </w:tcPr>
          <w:p w14:paraId="4AF02EBA">
            <w:pPr>
              <w:jc w:val="center"/>
              <w:rPr>
                <w:rFonts w:hint="eastAsia" w:ascii="宋体" w:hAnsi="宋体" w:eastAsia="宋体" w:cs="宋体"/>
                <w:i w:val="0"/>
                <w:iCs w:val="0"/>
                <w:color w:val="000000"/>
                <w:sz w:val="20"/>
                <w:szCs w:val="20"/>
                <w:u w:val="none"/>
              </w:rPr>
            </w:pPr>
          </w:p>
        </w:tc>
        <w:tc>
          <w:tcPr>
            <w:tcW w:w="377" w:type="pct"/>
            <w:tcBorders>
              <w:tl2br w:val="nil"/>
              <w:tr2bl w:val="nil"/>
            </w:tcBorders>
            <w:shd w:val="clear" w:color="auto" w:fill="auto"/>
            <w:vAlign w:val="center"/>
          </w:tcPr>
          <w:p w14:paraId="5BD12D54">
            <w:pPr>
              <w:jc w:val="center"/>
              <w:rPr>
                <w:rFonts w:hint="eastAsia" w:ascii="宋体" w:hAnsi="宋体" w:eastAsia="宋体" w:cs="宋体"/>
                <w:i w:val="0"/>
                <w:iCs w:val="0"/>
                <w:color w:val="000000"/>
                <w:sz w:val="20"/>
                <w:szCs w:val="20"/>
                <w:u w:val="none"/>
              </w:rPr>
            </w:pPr>
          </w:p>
        </w:tc>
        <w:tc>
          <w:tcPr>
            <w:tcW w:w="427" w:type="pct"/>
            <w:tcBorders>
              <w:tl2br w:val="nil"/>
              <w:tr2bl w:val="nil"/>
            </w:tcBorders>
            <w:shd w:val="clear" w:color="auto" w:fill="auto"/>
            <w:vAlign w:val="center"/>
          </w:tcPr>
          <w:p w14:paraId="6FFAD8D7">
            <w:pPr>
              <w:rPr>
                <w:rFonts w:hint="eastAsia" w:ascii="宋体" w:hAnsi="宋体" w:eastAsia="宋体" w:cs="宋体"/>
                <w:i w:val="0"/>
                <w:iCs w:val="0"/>
                <w:color w:val="000000"/>
                <w:sz w:val="20"/>
                <w:szCs w:val="20"/>
                <w:u w:val="none"/>
              </w:rPr>
            </w:pPr>
          </w:p>
        </w:tc>
        <w:tc>
          <w:tcPr>
            <w:tcW w:w="501" w:type="pct"/>
            <w:tcBorders>
              <w:tl2br w:val="nil"/>
              <w:tr2bl w:val="nil"/>
            </w:tcBorders>
            <w:shd w:val="clear" w:color="auto" w:fill="auto"/>
            <w:noWrap/>
            <w:vAlign w:val="center"/>
          </w:tcPr>
          <w:p w14:paraId="0CFE9FD8">
            <w:pPr>
              <w:jc w:val="center"/>
              <w:rPr>
                <w:rFonts w:hint="eastAsia" w:ascii="宋体" w:hAnsi="宋体" w:eastAsia="宋体" w:cs="宋体"/>
                <w:i w:val="0"/>
                <w:iCs w:val="0"/>
                <w:color w:val="000000"/>
                <w:sz w:val="20"/>
                <w:szCs w:val="20"/>
                <w:u w:val="none"/>
              </w:rPr>
            </w:pPr>
          </w:p>
        </w:tc>
      </w:tr>
      <w:tr w14:paraId="5BB6B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401" w:type="pct"/>
            <w:vMerge w:val="continue"/>
            <w:tcBorders>
              <w:tl2br w:val="nil"/>
              <w:tr2bl w:val="nil"/>
            </w:tcBorders>
            <w:shd w:val="clear" w:color="auto" w:fill="auto"/>
            <w:vAlign w:val="center"/>
          </w:tcPr>
          <w:p w14:paraId="46A32FD3">
            <w:pPr>
              <w:rPr>
                <w:rFonts w:hint="eastAsia" w:ascii="宋体" w:hAnsi="宋体" w:eastAsia="宋体" w:cs="宋体"/>
                <w:i w:val="0"/>
                <w:iCs w:val="0"/>
                <w:color w:val="000000"/>
                <w:sz w:val="20"/>
                <w:szCs w:val="20"/>
                <w:u w:val="none"/>
              </w:rPr>
            </w:pPr>
          </w:p>
        </w:tc>
        <w:tc>
          <w:tcPr>
            <w:tcW w:w="456" w:type="pct"/>
            <w:vMerge w:val="continue"/>
            <w:tcBorders>
              <w:tl2br w:val="nil"/>
              <w:tr2bl w:val="nil"/>
            </w:tcBorders>
            <w:shd w:val="clear" w:color="auto" w:fill="auto"/>
            <w:noWrap/>
            <w:vAlign w:val="center"/>
          </w:tcPr>
          <w:p w14:paraId="49D8BAC1">
            <w:pPr>
              <w:rPr>
                <w:rFonts w:hint="eastAsia" w:ascii="宋体" w:hAnsi="宋体" w:eastAsia="宋体" w:cs="宋体"/>
                <w:i w:val="0"/>
                <w:iCs w:val="0"/>
                <w:color w:val="000000"/>
                <w:sz w:val="20"/>
                <w:szCs w:val="20"/>
                <w:u w:val="none"/>
              </w:rPr>
            </w:pPr>
          </w:p>
        </w:tc>
        <w:tc>
          <w:tcPr>
            <w:tcW w:w="473" w:type="pct"/>
            <w:tcBorders>
              <w:tl2br w:val="nil"/>
              <w:tr2bl w:val="nil"/>
            </w:tcBorders>
            <w:shd w:val="clear" w:color="auto" w:fill="auto"/>
            <w:noWrap/>
            <w:vAlign w:val="center"/>
          </w:tcPr>
          <w:p w14:paraId="1139C3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生态环境成本指标</w:t>
            </w:r>
          </w:p>
        </w:tc>
        <w:tc>
          <w:tcPr>
            <w:tcW w:w="794" w:type="pct"/>
            <w:gridSpan w:val="3"/>
            <w:tcBorders>
              <w:tl2br w:val="nil"/>
              <w:tr2bl w:val="nil"/>
            </w:tcBorders>
            <w:shd w:val="clear" w:color="auto" w:fill="auto"/>
            <w:vAlign w:val="center"/>
          </w:tcPr>
          <w:p w14:paraId="37606301">
            <w:pPr>
              <w:jc w:val="center"/>
              <w:rPr>
                <w:rFonts w:hint="eastAsia" w:ascii="宋体" w:hAnsi="宋体" w:eastAsia="宋体" w:cs="宋体"/>
                <w:i w:val="0"/>
                <w:iCs w:val="0"/>
                <w:color w:val="000000"/>
                <w:sz w:val="20"/>
                <w:szCs w:val="20"/>
                <w:u w:val="none"/>
              </w:rPr>
            </w:pPr>
          </w:p>
        </w:tc>
        <w:tc>
          <w:tcPr>
            <w:tcW w:w="1078" w:type="pct"/>
            <w:gridSpan w:val="2"/>
            <w:tcBorders>
              <w:tl2br w:val="nil"/>
              <w:tr2bl w:val="nil"/>
            </w:tcBorders>
            <w:shd w:val="clear" w:color="auto" w:fill="auto"/>
            <w:vAlign w:val="center"/>
          </w:tcPr>
          <w:p w14:paraId="5AC32A87">
            <w:pPr>
              <w:jc w:val="center"/>
              <w:rPr>
                <w:rFonts w:hint="eastAsia" w:ascii="宋体" w:hAnsi="宋体" w:eastAsia="宋体" w:cs="宋体"/>
                <w:i w:val="0"/>
                <w:iCs w:val="0"/>
                <w:color w:val="000000"/>
                <w:sz w:val="20"/>
                <w:szCs w:val="20"/>
                <w:u w:val="none"/>
              </w:rPr>
            </w:pPr>
          </w:p>
        </w:tc>
        <w:tc>
          <w:tcPr>
            <w:tcW w:w="446" w:type="pct"/>
            <w:tcBorders>
              <w:tl2br w:val="nil"/>
              <w:tr2bl w:val="nil"/>
            </w:tcBorders>
            <w:shd w:val="clear" w:color="auto" w:fill="auto"/>
            <w:vAlign w:val="center"/>
          </w:tcPr>
          <w:p w14:paraId="76E9FFBC">
            <w:pPr>
              <w:jc w:val="center"/>
              <w:rPr>
                <w:rFonts w:hint="eastAsia" w:ascii="宋体" w:hAnsi="宋体" w:eastAsia="宋体" w:cs="宋体"/>
                <w:i w:val="0"/>
                <w:iCs w:val="0"/>
                <w:color w:val="000000"/>
                <w:sz w:val="20"/>
                <w:szCs w:val="20"/>
                <w:u w:val="none"/>
              </w:rPr>
            </w:pPr>
          </w:p>
        </w:tc>
        <w:tc>
          <w:tcPr>
            <w:tcW w:w="377" w:type="pct"/>
            <w:tcBorders>
              <w:tl2br w:val="nil"/>
              <w:tr2bl w:val="nil"/>
            </w:tcBorders>
            <w:shd w:val="clear" w:color="auto" w:fill="auto"/>
            <w:vAlign w:val="center"/>
          </w:tcPr>
          <w:p w14:paraId="7AA2A005">
            <w:pPr>
              <w:jc w:val="center"/>
              <w:rPr>
                <w:rFonts w:hint="eastAsia" w:ascii="宋体" w:hAnsi="宋体" w:eastAsia="宋体" w:cs="宋体"/>
                <w:i w:val="0"/>
                <w:iCs w:val="0"/>
                <w:color w:val="000000"/>
                <w:sz w:val="20"/>
                <w:szCs w:val="20"/>
                <w:u w:val="none"/>
              </w:rPr>
            </w:pPr>
          </w:p>
        </w:tc>
        <w:tc>
          <w:tcPr>
            <w:tcW w:w="427" w:type="pct"/>
            <w:tcBorders>
              <w:tl2br w:val="nil"/>
              <w:tr2bl w:val="nil"/>
            </w:tcBorders>
            <w:shd w:val="clear" w:color="auto" w:fill="auto"/>
            <w:vAlign w:val="center"/>
          </w:tcPr>
          <w:p w14:paraId="42581B76">
            <w:pPr>
              <w:rPr>
                <w:rFonts w:hint="eastAsia" w:ascii="宋体" w:hAnsi="宋体" w:eastAsia="宋体" w:cs="宋体"/>
                <w:i w:val="0"/>
                <w:iCs w:val="0"/>
                <w:color w:val="000000"/>
                <w:sz w:val="20"/>
                <w:szCs w:val="20"/>
                <w:u w:val="none"/>
              </w:rPr>
            </w:pPr>
          </w:p>
        </w:tc>
        <w:tc>
          <w:tcPr>
            <w:tcW w:w="501" w:type="pct"/>
            <w:tcBorders>
              <w:tl2br w:val="nil"/>
              <w:tr2bl w:val="nil"/>
            </w:tcBorders>
            <w:shd w:val="clear" w:color="auto" w:fill="auto"/>
            <w:noWrap/>
            <w:vAlign w:val="center"/>
          </w:tcPr>
          <w:p w14:paraId="6721A07E">
            <w:pPr>
              <w:jc w:val="center"/>
              <w:rPr>
                <w:rFonts w:hint="eastAsia" w:ascii="宋体" w:hAnsi="宋体" w:eastAsia="宋体" w:cs="宋体"/>
                <w:i w:val="0"/>
                <w:iCs w:val="0"/>
                <w:color w:val="000000"/>
                <w:sz w:val="20"/>
                <w:szCs w:val="20"/>
                <w:u w:val="none"/>
              </w:rPr>
            </w:pPr>
          </w:p>
        </w:tc>
      </w:tr>
      <w:tr w14:paraId="5FA27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1331" w:type="pct"/>
            <w:gridSpan w:val="3"/>
            <w:tcBorders>
              <w:tl2br w:val="nil"/>
              <w:tr2bl w:val="nil"/>
            </w:tcBorders>
            <w:shd w:val="clear" w:color="auto" w:fill="auto"/>
            <w:vAlign w:val="center"/>
          </w:tcPr>
          <w:p w14:paraId="579F4C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sz w:val="18"/>
                <w:szCs w:val="18"/>
              </w:rPr>
              <w:t>绩效自评综合得分</w:t>
            </w:r>
          </w:p>
        </w:tc>
        <w:tc>
          <w:tcPr>
            <w:tcW w:w="3626" w:type="pct"/>
            <w:gridSpan w:val="9"/>
            <w:tcBorders>
              <w:tl2br w:val="nil"/>
              <w:tr2bl w:val="nil"/>
            </w:tcBorders>
            <w:shd w:val="clear" w:color="auto" w:fill="auto"/>
            <w:vAlign w:val="center"/>
          </w:tcPr>
          <w:p w14:paraId="71ABAAFC">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100分</w:t>
            </w:r>
          </w:p>
        </w:tc>
      </w:tr>
      <w:tr w14:paraId="205CD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1331" w:type="pct"/>
            <w:gridSpan w:val="3"/>
            <w:tcBorders>
              <w:tl2br w:val="nil"/>
              <w:tr2bl w:val="nil"/>
            </w:tcBorders>
            <w:shd w:val="clear" w:color="auto" w:fill="auto"/>
            <w:vAlign w:val="center"/>
          </w:tcPr>
          <w:p w14:paraId="212DEC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sz w:val="18"/>
                <w:szCs w:val="18"/>
              </w:rPr>
              <w:t>评价等次</w:t>
            </w:r>
          </w:p>
        </w:tc>
        <w:tc>
          <w:tcPr>
            <w:tcW w:w="3626" w:type="pct"/>
            <w:gridSpan w:val="9"/>
            <w:tcBorders>
              <w:tl2br w:val="nil"/>
              <w:tr2bl w:val="nil"/>
            </w:tcBorders>
            <w:shd w:val="clear" w:color="auto" w:fill="auto"/>
            <w:vAlign w:val="center"/>
          </w:tcPr>
          <w:p w14:paraId="657BCC47">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优</w:t>
            </w:r>
          </w:p>
        </w:tc>
      </w:tr>
    </w:tbl>
    <w:p w14:paraId="00A0C1F8">
      <w:pPr>
        <w:pStyle w:val="11"/>
      </w:pPr>
    </w:p>
    <w:p w14:paraId="73CCB52E">
      <w:pPr>
        <w:pStyle w:val="11"/>
      </w:pPr>
    </w:p>
    <w:p w14:paraId="5DDCC5A8">
      <w:pPr>
        <w:pStyle w:val="11"/>
      </w:pPr>
    </w:p>
    <w:p w14:paraId="1726F603">
      <w:pPr>
        <w:pStyle w:val="11"/>
        <w:ind w:left="0" w:leftChars="0" w:firstLine="0" w:firstLineChars="0"/>
      </w:pPr>
    </w:p>
    <w:p w14:paraId="1EE90E6D">
      <w:pPr>
        <w:pStyle w:val="11"/>
        <w:ind w:left="0" w:leftChars="0" w:firstLine="0" w:firstLineChars="0"/>
      </w:pPr>
    </w:p>
    <w:p w14:paraId="2776AA5F">
      <w:pPr>
        <w:pStyle w:val="11"/>
        <w:ind w:left="0" w:leftChars="0" w:firstLine="0" w:firstLineChars="0"/>
      </w:pPr>
    </w:p>
    <w:p w14:paraId="4B80494D">
      <w:pPr>
        <w:pStyle w:val="11"/>
        <w:ind w:left="0" w:leftChars="0" w:firstLine="0" w:firstLineChars="0"/>
      </w:pPr>
    </w:p>
    <w:p w14:paraId="7E7A5C44">
      <w:pPr>
        <w:pStyle w:val="11"/>
        <w:ind w:left="0" w:leftChars="0" w:firstLine="0" w:firstLineChars="0"/>
      </w:pPr>
    </w:p>
    <w:p w14:paraId="01D605AA">
      <w:pPr>
        <w:pStyle w:val="11"/>
        <w:ind w:left="0" w:leftChars="0" w:firstLine="0" w:firstLineChars="0"/>
      </w:pPr>
    </w:p>
    <w:p w14:paraId="5270AAF7">
      <w:pPr>
        <w:pStyle w:val="11"/>
        <w:ind w:left="0" w:leftChars="0" w:firstLine="0" w:firstLineChars="0"/>
      </w:pPr>
    </w:p>
    <w:tbl>
      <w:tblPr>
        <w:tblStyle w:val="8"/>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654"/>
        <w:gridCol w:w="3561"/>
        <w:gridCol w:w="1479"/>
        <w:gridCol w:w="3106"/>
      </w:tblGrid>
      <w:tr w14:paraId="23E6D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4"/>
            <w:noWrap w:val="0"/>
            <w:vAlign w:val="center"/>
          </w:tcPr>
          <w:p w14:paraId="2F7CA040">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sz w:val="28"/>
                <w:szCs w:val="28"/>
              </w:rPr>
              <w:t>四、评价人员</w:t>
            </w:r>
          </w:p>
        </w:tc>
      </w:tr>
      <w:tr w14:paraId="50FE0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noWrap w:val="0"/>
            <w:vAlign w:val="center"/>
          </w:tcPr>
          <w:p w14:paraId="508774E5">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sz w:val="24"/>
              </w:rPr>
              <w:t>姓  名</w:t>
            </w:r>
          </w:p>
        </w:tc>
        <w:tc>
          <w:tcPr>
            <w:tcW w:w="3561" w:type="dxa"/>
            <w:noWrap w:val="0"/>
            <w:vAlign w:val="center"/>
          </w:tcPr>
          <w:p w14:paraId="7003892A">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sz w:val="24"/>
              </w:rPr>
              <w:t>职务/职称</w:t>
            </w:r>
          </w:p>
        </w:tc>
        <w:tc>
          <w:tcPr>
            <w:tcW w:w="1479" w:type="dxa"/>
            <w:noWrap w:val="0"/>
            <w:vAlign w:val="center"/>
          </w:tcPr>
          <w:p w14:paraId="3EA5FEDE">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sz w:val="24"/>
              </w:rPr>
              <w:t>单  位</w:t>
            </w:r>
          </w:p>
        </w:tc>
        <w:tc>
          <w:tcPr>
            <w:tcW w:w="3106" w:type="dxa"/>
            <w:noWrap w:val="0"/>
            <w:vAlign w:val="center"/>
          </w:tcPr>
          <w:p w14:paraId="19D6D002">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sz w:val="24"/>
              </w:rPr>
              <w:t>签  字</w:t>
            </w:r>
          </w:p>
        </w:tc>
      </w:tr>
      <w:tr w14:paraId="7A804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14:paraId="053E3709">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廖良雄</w:t>
            </w:r>
          </w:p>
        </w:tc>
        <w:tc>
          <w:tcPr>
            <w:tcW w:w="3561" w:type="dxa"/>
            <w:noWrap w:val="0"/>
            <w:vAlign w:val="center"/>
          </w:tcPr>
          <w:p w14:paraId="6697744D">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巡察办主任</w:t>
            </w:r>
          </w:p>
        </w:tc>
        <w:tc>
          <w:tcPr>
            <w:tcW w:w="1479" w:type="dxa"/>
            <w:noWrap w:val="0"/>
            <w:vAlign w:val="center"/>
          </w:tcPr>
          <w:p w14:paraId="2FAD6C7A">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巡察办</w:t>
            </w:r>
          </w:p>
        </w:tc>
        <w:tc>
          <w:tcPr>
            <w:tcW w:w="3106" w:type="dxa"/>
            <w:noWrap w:val="0"/>
            <w:vAlign w:val="center"/>
          </w:tcPr>
          <w:p w14:paraId="3A174C05">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4"/>
              </w:rPr>
            </w:pPr>
          </w:p>
        </w:tc>
      </w:tr>
      <w:tr w14:paraId="69116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14:paraId="2C3BC040">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言蓓</w:t>
            </w:r>
          </w:p>
        </w:tc>
        <w:tc>
          <w:tcPr>
            <w:tcW w:w="3561" w:type="dxa"/>
            <w:noWrap w:val="0"/>
            <w:vAlign w:val="center"/>
          </w:tcPr>
          <w:p w14:paraId="7E513014">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巡察办副主任</w:t>
            </w:r>
          </w:p>
        </w:tc>
        <w:tc>
          <w:tcPr>
            <w:tcW w:w="1479" w:type="dxa"/>
            <w:noWrap w:val="0"/>
            <w:vAlign w:val="center"/>
          </w:tcPr>
          <w:p w14:paraId="4AEDF79C">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巡察办</w:t>
            </w:r>
          </w:p>
        </w:tc>
        <w:tc>
          <w:tcPr>
            <w:tcW w:w="3106" w:type="dxa"/>
            <w:noWrap w:val="0"/>
            <w:vAlign w:val="center"/>
          </w:tcPr>
          <w:p w14:paraId="69B09627">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4"/>
              </w:rPr>
            </w:pPr>
          </w:p>
        </w:tc>
      </w:tr>
      <w:tr w14:paraId="4CC3B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14:paraId="1D52D6CC">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方祚</w:t>
            </w:r>
          </w:p>
        </w:tc>
        <w:tc>
          <w:tcPr>
            <w:tcW w:w="3561" w:type="dxa"/>
            <w:noWrap w:val="0"/>
            <w:vAlign w:val="center"/>
          </w:tcPr>
          <w:p w14:paraId="1FF01FB0">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巡察专员</w:t>
            </w:r>
          </w:p>
        </w:tc>
        <w:tc>
          <w:tcPr>
            <w:tcW w:w="1479" w:type="dxa"/>
            <w:noWrap w:val="0"/>
            <w:vAlign w:val="center"/>
          </w:tcPr>
          <w:p w14:paraId="771A74D9">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巡察办</w:t>
            </w:r>
          </w:p>
        </w:tc>
        <w:tc>
          <w:tcPr>
            <w:tcW w:w="3106" w:type="dxa"/>
            <w:noWrap w:val="0"/>
            <w:vAlign w:val="center"/>
          </w:tcPr>
          <w:p w14:paraId="7F3E55EE">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4"/>
              </w:rPr>
            </w:pPr>
          </w:p>
        </w:tc>
      </w:tr>
      <w:tr w14:paraId="26B6C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14:paraId="59A37614">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4"/>
              </w:rPr>
            </w:pPr>
          </w:p>
        </w:tc>
        <w:tc>
          <w:tcPr>
            <w:tcW w:w="3561" w:type="dxa"/>
            <w:noWrap w:val="0"/>
            <w:vAlign w:val="center"/>
          </w:tcPr>
          <w:p w14:paraId="509D2CA3">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4"/>
              </w:rPr>
            </w:pPr>
          </w:p>
        </w:tc>
        <w:tc>
          <w:tcPr>
            <w:tcW w:w="1479" w:type="dxa"/>
            <w:noWrap w:val="0"/>
            <w:vAlign w:val="center"/>
          </w:tcPr>
          <w:p w14:paraId="2CB5D5C2">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4"/>
              </w:rPr>
            </w:pPr>
          </w:p>
        </w:tc>
        <w:tc>
          <w:tcPr>
            <w:tcW w:w="3106" w:type="dxa"/>
            <w:noWrap w:val="0"/>
            <w:vAlign w:val="center"/>
          </w:tcPr>
          <w:p w14:paraId="344CA3EE">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000000"/>
                <w:sz w:val="24"/>
              </w:rPr>
            </w:pPr>
          </w:p>
        </w:tc>
      </w:tr>
      <w:tr w14:paraId="7B218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0" w:hRule="atLeast"/>
          <w:jc w:val="center"/>
        </w:trPr>
        <w:tc>
          <w:tcPr>
            <w:tcW w:w="9800" w:type="dxa"/>
            <w:gridSpan w:val="4"/>
            <w:noWrap w:val="0"/>
            <w:vAlign w:val="center"/>
          </w:tcPr>
          <w:p w14:paraId="2FA942E3">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24"/>
              </w:rPr>
            </w:pPr>
            <w:r>
              <w:rPr>
                <w:rFonts w:hint="eastAsia" w:ascii="宋体" w:hAnsi="宋体" w:eastAsia="宋体" w:cs="宋体"/>
                <w:color w:val="000000"/>
                <w:sz w:val="24"/>
              </w:rPr>
              <w:t>评价组组长（签字）：</w:t>
            </w:r>
          </w:p>
          <w:p w14:paraId="2B758B11">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24"/>
              </w:rPr>
            </w:pPr>
          </w:p>
          <w:p w14:paraId="43A66B74">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24"/>
              </w:rPr>
            </w:pPr>
          </w:p>
          <w:p w14:paraId="0610024B">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24"/>
              </w:rPr>
            </w:pPr>
          </w:p>
          <w:p w14:paraId="7B52A386">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24"/>
              </w:rPr>
            </w:pPr>
          </w:p>
          <w:p w14:paraId="5E8F974E">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24"/>
              </w:rPr>
            </w:pPr>
            <w:r>
              <w:rPr>
                <w:rFonts w:hint="eastAsia" w:ascii="宋体" w:hAnsi="宋体" w:eastAsia="宋体" w:cs="宋体"/>
                <w:color w:val="000000"/>
                <w:sz w:val="24"/>
              </w:rPr>
              <w:t xml:space="preserve">                                                               年    月    日</w:t>
            </w:r>
          </w:p>
        </w:tc>
      </w:tr>
      <w:tr w14:paraId="6332E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90" w:hRule="atLeast"/>
          <w:jc w:val="center"/>
        </w:trPr>
        <w:tc>
          <w:tcPr>
            <w:tcW w:w="9800" w:type="dxa"/>
            <w:gridSpan w:val="4"/>
            <w:noWrap w:val="0"/>
            <w:vAlign w:val="center"/>
          </w:tcPr>
          <w:p w14:paraId="787E97CC">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宋体" w:hAnsi="宋体" w:eastAsia="宋体" w:cs="宋体"/>
                <w:color w:val="000000"/>
                <w:sz w:val="24"/>
              </w:rPr>
            </w:pPr>
            <w:r>
              <w:rPr>
                <w:rFonts w:hint="eastAsia" w:ascii="宋体" w:hAnsi="宋体" w:eastAsia="宋体" w:cs="宋体"/>
                <w:color w:val="000000"/>
                <w:sz w:val="24"/>
              </w:rPr>
              <w:t>部门（单位）意见：</w:t>
            </w:r>
          </w:p>
          <w:p w14:paraId="40E52B07">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宋体" w:hAnsi="宋体" w:eastAsia="宋体" w:cs="宋体"/>
                <w:color w:val="000000"/>
                <w:sz w:val="24"/>
              </w:rPr>
            </w:pPr>
          </w:p>
          <w:p w14:paraId="63B6FCFF">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宋体" w:hAnsi="宋体" w:eastAsia="宋体" w:cs="宋体"/>
                <w:color w:val="000000"/>
                <w:sz w:val="24"/>
              </w:rPr>
            </w:pPr>
            <w:r>
              <w:rPr>
                <w:rFonts w:hint="eastAsia" w:ascii="宋体" w:hAnsi="宋体" w:eastAsia="宋体" w:cs="宋体"/>
                <w:color w:val="000000"/>
                <w:sz w:val="24"/>
              </w:rPr>
              <w:t xml:space="preserve">                                         部门（单位）负责人（签章）：</w:t>
            </w:r>
          </w:p>
          <w:p w14:paraId="36EC0577">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宋体" w:hAnsi="宋体" w:eastAsia="宋体" w:cs="宋体"/>
                <w:color w:val="000000"/>
                <w:sz w:val="24"/>
              </w:rPr>
            </w:pPr>
            <w:r>
              <w:rPr>
                <w:rFonts w:hint="eastAsia" w:ascii="宋体" w:hAnsi="宋体" w:eastAsia="宋体" w:cs="宋体"/>
                <w:color w:val="000000"/>
                <w:sz w:val="24"/>
              </w:rPr>
              <w:t xml:space="preserve">                                                               年    月    日</w:t>
            </w:r>
          </w:p>
        </w:tc>
      </w:tr>
      <w:tr w14:paraId="5BBAA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60" w:hRule="atLeast"/>
          <w:jc w:val="center"/>
        </w:trPr>
        <w:tc>
          <w:tcPr>
            <w:tcW w:w="9800" w:type="dxa"/>
            <w:gridSpan w:val="4"/>
            <w:noWrap w:val="0"/>
            <w:vAlign w:val="center"/>
          </w:tcPr>
          <w:p w14:paraId="1B384848">
            <w:pPr>
              <w:keepNext w:val="0"/>
              <w:keepLines w:val="0"/>
              <w:pageBreakBefore w:val="0"/>
              <w:widowControl w:val="0"/>
              <w:kinsoku/>
              <w:wordWrap/>
              <w:overflowPunct/>
              <w:topLinePunct w:val="0"/>
              <w:autoSpaceDE/>
              <w:bidi w:val="0"/>
              <w:adjustRightInd/>
              <w:spacing w:line="560" w:lineRule="exact"/>
              <w:rPr>
                <w:rFonts w:hint="eastAsia" w:ascii="宋体" w:hAnsi="宋体" w:eastAsia="宋体" w:cs="宋体"/>
                <w:sz w:val="24"/>
              </w:rPr>
            </w:pPr>
            <w:r>
              <w:rPr>
                <w:rFonts w:hint="eastAsia" w:ascii="宋体" w:hAnsi="宋体" w:eastAsia="宋体" w:cs="宋体"/>
                <w:sz w:val="24"/>
              </w:rPr>
              <w:t>财政部门归口业务股室意见：</w:t>
            </w:r>
          </w:p>
          <w:p w14:paraId="3F2EACEC">
            <w:pPr>
              <w:keepNext w:val="0"/>
              <w:keepLines w:val="0"/>
              <w:pageBreakBefore w:val="0"/>
              <w:widowControl w:val="0"/>
              <w:kinsoku/>
              <w:wordWrap/>
              <w:overflowPunct/>
              <w:topLinePunct w:val="0"/>
              <w:autoSpaceDE/>
              <w:bidi w:val="0"/>
              <w:adjustRightInd/>
              <w:spacing w:line="560" w:lineRule="exact"/>
              <w:rPr>
                <w:rFonts w:hint="eastAsia" w:ascii="宋体" w:hAnsi="宋体" w:eastAsia="宋体" w:cs="宋体"/>
                <w:sz w:val="24"/>
              </w:rPr>
            </w:pPr>
          </w:p>
          <w:p w14:paraId="06D3CFC8">
            <w:pPr>
              <w:keepNext w:val="0"/>
              <w:keepLines w:val="0"/>
              <w:pageBreakBefore w:val="0"/>
              <w:widowControl w:val="0"/>
              <w:kinsoku/>
              <w:wordWrap/>
              <w:overflowPunct/>
              <w:topLinePunct w:val="0"/>
              <w:autoSpaceDE/>
              <w:bidi w:val="0"/>
              <w:adjustRightInd/>
              <w:spacing w:line="560" w:lineRule="exact"/>
              <w:rPr>
                <w:rFonts w:hint="eastAsia" w:ascii="宋体" w:hAnsi="宋体" w:eastAsia="宋体" w:cs="宋体"/>
                <w:sz w:val="24"/>
              </w:rPr>
            </w:pPr>
            <w:r>
              <w:rPr>
                <w:rFonts w:hint="eastAsia" w:ascii="宋体" w:hAnsi="宋体" w:eastAsia="宋体" w:cs="宋体"/>
                <w:sz w:val="24"/>
              </w:rPr>
              <w:t xml:space="preserve">                                  财政部门归口业务股室负责人（签章）：</w:t>
            </w:r>
          </w:p>
          <w:p w14:paraId="606E6152">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宋体" w:hAnsi="宋体" w:eastAsia="宋体" w:cs="宋体"/>
                <w:color w:val="000000"/>
                <w:sz w:val="24"/>
              </w:rPr>
            </w:pPr>
            <w:r>
              <w:rPr>
                <w:rFonts w:hint="eastAsia" w:ascii="宋体" w:hAnsi="宋体" w:eastAsia="宋体" w:cs="宋体"/>
                <w:sz w:val="24"/>
              </w:rPr>
              <w:t xml:space="preserve">                                                                 年    月   日</w:t>
            </w:r>
          </w:p>
        </w:tc>
      </w:tr>
    </w:tbl>
    <w:p w14:paraId="3B230F18">
      <w:pPr>
        <w:pStyle w:val="11"/>
        <w:ind w:left="0" w:leftChars="0" w:firstLine="0" w:firstLineChars="0"/>
        <w:rPr>
          <w:rFonts w:hint="eastAsia" w:ascii="宋体" w:hAnsi="宋体" w:eastAsia="宋体" w:cs="宋体"/>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Cs/>
          <w:sz w:val="28"/>
          <w:szCs w:val="28"/>
        </w:rPr>
        <w:t>填报人（签名）：                联系电话：</w:t>
      </w:r>
    </w:p>
    <w:p w14:paraId="00F57DE8">
      <w:pPr>
        <w:bidi w:val="0"/>
        <w:rPr>
          <w:rFonts w:hint="default"/>
          <w:lang w:val="en-US" w:eastAsia="zh-CN"/>
        </w:rPr>
      </w:pPr>
      <w:r>
        <w:rPr>
          <w:rFonts w:hint="eastAsia"/>
          <w:lang w:val="en-US" w:eastAsia="zh-CN"/>
        </w:rPr>
        <w:t>附件1</w:t>
      </w:r>
    </w:p>
    <w:p w14:paraId="15459DD5">
      <w:pPr>
        <w:bidi w:val="0"/>
        <w:jc w:val="center"/>
        <w:rPr>
          <w:rFonts w:hint="eastAsia" w:ascii="黑体" w:hAnsi="黑体" w:eastAsia="黑体" w:cs="黑体"/>
          <w:b/>
          <w:bCs/>
          <w:i w:val="0"/>
          <w:iCs w:val="0"/>
          <w:caps w:val="0"/>
          <w:color w:val="000000"/>
          <w:spacing w:val="0"/>
          <w:kern w:val="0"/>
          <w:sz w:val="44"/>
          <w:szCs w:val="44"/>
          <w:shd w:val="clear" w:fill="FFFFFF"/>
          <w:lang w:val="en-US" w:eastAsia="zh-CN" w:bidi="ar"/>
        </w:rPr>
      </w:pPr>
      <w:r>
        <w:rPr>
          <w:rFonts w:hint="eastAsia" w:ascii="黑体" w:hAnsi="黑体" w:eastAsia="黑体" w:cs="黑体"/>
          <w:b/>
          <w:bCs/>
          <w:i w:val="0"/>
          <w:iCs w:val="0"/>
          <w:caps w:val="0"/>
          <w:color w:val="000000"/>
          <w:spacing w:val="0"/>
          <w:kern w:val="0"/>
          <w:sz w:val="44"/>
          <w:szCs w:val="44"/>
          <w:shd w:val="clear" w:fill="FFFFFF"/>
          <w:lang w:val="en-US" w:eastAsia="zh-CN" w:bidi="ar"/>
        </w:rPr>
        <w:t>中共岳阳市云溪区委巡察工作领导小组办公室</w:t>
      </w:r>
    </w:p>
    <w:p w14:paraId="1F658407">
      <w:pPr>
        <w:bidi w:val="0"/>
        <w:jc w:val="center"/>
        <w:rPr>
          <w:rFonts w:hint="eastAsia" w:ascii="黑体" w:hAnsi="黑体" w:eastAsia="黑体" w:cs="黑体"/>
          <w:b/>
          <w:bCs/>
          <w:i w:val="0"/>
          <w:iCs w:val="0"/>
          <w:caps w:val="0"/>
          <w:color w:val="000000"/>
          <w:spacing w:val="0"/>
          <w:kern w:val="0"/>
          <w:sz w:val="44"/>
          <w:szCs w:val="44"/>
          <w:shd w:val="clear" w:fill="FFFFFF"/>
          <w:lang w:val="en-US" w:eastAsia="zh-CN" w:bidi="ar"/>
        </w:rPr>
      </w:pPr>
      <w:r>
        <w:rPr>
          <w:rFonts w:hint="eastAsia" w:ascii="黑体" w:hAnsi="黑体" w:eastAsia="黑体" w:cs="黑体"/>
          <w:b/>
          <w:bCs/>
          <w:i w:val="0"/>
          <w:iCs w:val="0"/>
          <w:caps w:val="0"/>
          <w:color w:val="000000"/>
          <w:spacing w:val="0"/>
          <w:kern w:val="0"/>
          <w:sz w:val="44"/>
          <w:szCs w:val="44"/>
          <w:shd w:val="clear" w:fill="FFFFFF"/>
          <w:lang w:val="en-US" w:eastAsia="zh-CN" w:bidi="ar"/>
        </w:rPr>
        <w:t>部门整体支出绩效自评报告</w:t>
      </w:r>
    </w:p>
    <w:p w14:paraId="1F4FF666">
      <w:pPr>
        <w:bidi w:val="0"/>
      </w:pPr>
    </w:p>
    <w:p w14:paraId="19F005E4">
      <w:pPr>
        <w:pStyle w:val="4"/>
        <w:bidi w:val="0"/>
        <w:ind w:left="0" w:leftChars="0" w:firstLine="0" w:firstLineChars="0"/>
        <w:rPr>
          <w:rFonts w:hint="eastAsia"/>
        </w:rPr>
      </w:pPr>
      <w:r>
        <w:rPr>
          <w:rFonts w:hint="eastAsia"/>
        </w:rPr>
        <w:t>一、部门（单位）概况</w:t>
      </w:r>
    </w:p>
    <w:p w14:paraId="27EE9530">
      <w:pPr>
        <w:pStyle w:val="5"/>
        <w:bidi w:val="0"/>
        <w:ind w:left="0" w:leftChars="0" w:firstLine="0" w:firstLineChars="0"/>
        <w:rPr>
          <w:rFonts w:hint="eastAsia" w:ascii="黑体" w:hAnsi="黑体" w:eastAsia="黑体" w:cs="黑体"/>
        </w:rPr>
      </w:pPr>
      <w:r>
        <w:rPr>
          <w:rFonts w:hint="eastAsia" w:ascii="黑体" w:hAnsi="黑体" w:eastAsia="黑体" w:cs="黑体"/>
        </w:rPr>
        <w:t>（一）机构设置情况</w:t>
      </w:r>
    </w:p>
    <w:p w14:paraId="5D52763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中共岳阳市云溪区委巡察工作领导小组办公室内设机构包括：内设股室3个，分别为综合室、巡察室、督察室。</w:t>
      </w:r>
    </w:p>
    <w:p w14:paraId="755361B7">
      <w:pPr>
        <w:pStyle w:val="5"/>
        <w:bidi w:val="0"/>
        <w:ind w:left="0" w:leftChars="0" w:firstLine="0" w:firstLineChars="0"/>
        <w:rPr>
          <w:rFonts w:hint="default" w:ascii="黑体" w:hAnsi="黑体" w:eastAsia="黑体" w:cs="黑体"/>
        </w:rPr>
      </w:pPr>
      <w:r>
        <w:rPr>
          <w:rFonts w:hint="eastAsia" w:ascii="黑体" w:hAnsi="黑体" w:eastAsia="黑体" w:cs="黑体"/>
          <w:lang w:eastAsia="zh-CN"/>
        </w:rPr>
        <w:t>（</w:t>
      </w:r>
      <w:r>
        <w:rPr>
          <w:rFonts w:hint="eastAsia" w:ascii="黑体" w:hAnsi="黑体" w:eastAsia="黑体" w:cs="黑体"/>
          <w:lang w:val="en-US" w:eastAsia="zh-CN"/>
        </w:rPr>
        <w:t>二</w:t>
      </w:r>
      <w:r>
        <w:rPr>
          <w:rFonts w:hint="eastAsia" w:ascii="黑体" w:hAnsi="黑体" w:eastAsia="黑体" w:cs="黑体"/>
          <w:lang w:eastAsia="zh-CN"/>
        </w:rPr>
        <w:t>）</w:t>
      </w:r>
      <w:r>
        <w:rPr>
          <w:rFonts w:hint="default" w:ascii="黑体" w:hAnsi="黑体" w:eastAsia="黑体" w:cs="黑体"/>
        </w:rPr>
        <w:t>人员编制情况</w:t>
      </w:r>
    </w:p>
    <w:p w14:paraId="4F1965E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2024年末实有人数11人，其中编制人数11人。</w:t>
      </w:r>
    </w:p>
    <w:p w14:paraId="6FDD81F4">
      <w:pPr>
        <w:pStyle w:val="5"/>
        <w:bidi w:val="0"/>
        <w:ind w:left="0" w:leftChars="0" w:firstLine="0" w:firstLineChars="0"/>
        <w:rPr>
          <w:rFonts w:hint="default" w:ascii="黑体" w:hAnsi="黑体" w:eastAsia="黑体" w:cs="黑体"/>
          <w:lang w:eastAsia="zh-CN"/>
        </w:rPr>
      </w:pPr>
      <w:r>
        <w:rPr>
          <w:rFonts w:hint="eastAsia" w:ascii="黑体" w:hAnsi="黑体" w:eastAsia="黑体" w:cs="黑体"/>
          <w:lang w:eastAsia="zh-CN"/>
        </w:rPr>
        <w:t>（</w:t>
      </w:r>
      <w:r>
        <w:rPr>
          <w:rFonts w:hint="eastAsia" w:ascii="黑体" w:hAnsi="黑体" w:eastAsia="黑体" w:cs="黑体"/>
          <w:lang w:val="en-US" w:eastAsia="zh-CN"/>
        </w:rPr>
        <w:t>三</w:t>
      </w:r>
      <w:r>
        <w:rPr>
          <w:rFonts w:hint="eastAsia" w:ascii="黑体" w:hAnsi="黑体" w:eastAsia="黑体" w:cs="黑体"/>
          <w:lang w:eastAsia="zh-CN"/>
        </w:rPr>
        <w:t>）</w:t>
      </w:r>
      <w:r>
        <w:rPr>
          <w:rFonts w:hint="default" w:ascii="黑体" w:hAnsi="黑体" w:eastAsia="黑体" w:cs="黑体"/>
          <w:lang w:eastAsia="zh-CN"/>
        </w:rPr>
        <w:t>主要职能职责</w:t>
      </w:r>
    </w:p>
    <w:p w14:paraId="1625AB1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default" w:ascii="仿宋" w:hAnsi="仿宋" w:eastAsia="仿宋" w:cs="仿宋"/>
          <w:b w:val="0"/>
          <w:bCs w:val="0"/>
          <w:color w:val="auto"/>
          <w:sz w:val="32"/>
          <w:szCs w:val="32"/>
          <w:lang w:val="en-US" w:eastAsia="zh-CN"/>
        </w:rPr>
        <w:t>1、向市委巡察工作领导小组办公室、区委及区委巡察工作领导小组报告巡察工作情况，传达贯彻中央、省委、市委、区委的决策和部署。</w:t>
      </w:r>
    </w:p>
    <w:p w14:paraId="0DE405B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default" w:ascii="仿宋" w:hAnsi="仿宋" w:eastAsia="仿宋" w:cs="仿宋"/>
          <w:b w:val="0"/>
          <w:bCs w:val="0"/>
          <w:color w:val="auto"/>
          <w:sz w:val="32"/>
          <w:szCs w:val="32"/>
          <w:lang w:val="en-US" w:eastAsia="zh-CN"/>
        </w:rPr>
        <w:t>2、配合上级巡视组和巡察组开展工作，承担巡视巡察的协调联络、服务保障、整改落实、信息处理等职责。</w:t>
      </w:r>
    </w:p>
    <w:p w14:paraId="1CE7DE1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default" w:ascii="仿宋" w:hAnsi="仿宋" w:eastAsia="仿宋" w:cs="仿宋"/>
          <w:b w:val="0"/>
          <w:bCs w:val="0"/>
          <w:color w:val="auto"/>
          <w:sz w:val="32"/>
          <w:szCs w:val="32"/>
          <w:lang w:val="en-US" w:eastAsia="zh-CN"/>
        </w:rPr>
        <w:t>3、承担本级巡察工作有关的调查研究、政策制定、制度建设、服务保障等工作，制定区委巡察工作标准，规范巡察工作流程，完善巡察工作评价机制。</w:t>
      </w:r>
    </w:p>
    <w:p w14:paraId="7127F42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default" w:ascii="仿宋" w:hAnsi="仿宋" w:eastAsia="仿宋" w:cs="仿宋"/>
          <w:b w:val="0"/>
          <w:bCs w:val="0"/>
          <w:color w:val="auto"/>
          <w:sz w:val="32"/>
          <w:szCs w:val="32"/>
          <w:lang w:val="en-US" w:eastAsia="zh-CN"/>
        </w:rPr>
        <w:t>4、提出区委巡察工作规划、年度计划和任务安排的建议。</w:t>
      </w:r>
    </w:p>
    <w:p w14:paraId="66E05D7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default" w:ascii="仿宋" w:hAnsi="仿宋" w:eastAsia="仿宋" w:cs="仿宋"/>
          <w:b w:val="0"/>
          <w:bCs w:val="0"/>
          <w:color w:val="auto"/>
          <w:sz w:val="32"/>
          <w:szCs w:val="32"/>
          <w:lang w:val="en-US" w:eastAsia="zh-CN"/>
        </w:rPr>
        <w:t>5、统筹、协调、指导区委巡察组开展工作。</w:t>
      </w:r>
    </w:p>
    <w:p w14:paraId="20CAD8F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default" w:ascii="仿宋" w:hAnsi="仿宋" w:eastAsia="仿宋" w:cs="仿宋"/>
          <w:b w:val="0"/>
          <w:bCs w:val="0"/>
          <w:color w:val="auto"/>
          <w:sz w:val="32"/>
          <w:szCs w:val="32"/>
          <w:lang w:val="en-US" w:eastAsia="zh-CN"/>
        </w:rPr>
        <w:t>6、对巡察发现的普遍性、规律性问题进行综合、分析和研究，形成专题报告，为区委决策服务。</w:t>
      </w:r>
    </w:p>
    <w:p w14:paraId="4AB142E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default" w:ascii="仿宋" w:hAnsi="仿宋" w:eastAsia="仿宋" w:cs="仿宋"/>
          <w:b w:val="0"/>
          <w:bCs w:val="0"/>
          <w:color w:val="auto"/>
          <w:sz w:val="32"/>
          <w:szCs w:val="32"/>
          <w:lang w:val="en-US" w:eastAsia="zh-CN"/>
        </w:rPr>
        <w:t>7、对区委和区委巡察工作领导小组决定的事项及巡察移交事项进行督办。</w:t>
      </w:r>
    </w:p>
    <w:p w14:paraId="28E6591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default" w:ascii="仿宋" w:hAnsi="仿宋" w:eastAsia="仿宋" w:cs="仿宋"/>
          <w:b w:val="0"/>
          <w:bCs w:val="0"/>
          <w:color w:val="auto"/>
          <w:sz w:val="32"/>
          <w:szCs w:val="32"/>
          <w:lang w:val="en-US" w:eastAsia="zh-CN"/>
        </w:rPr>
        <w:t>8、配合有关部门对巡察工作人员进行培训、考核、监督和管理。</w:t>
      </w:r>
    </w:p>
    <w:p w14:paraId="0F867E7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default" w:ascii="仿宋" w:hAnsi="仿宋" w:eastAsia="仿宋" w:cs="仿宋"/>
          <w:b w:val="0"/>
          <w:bCs w:val="0"/>
          <w:color w:val="auto"/>
          <w:sz w:val="32"/>
          <w:szCs w:val="32"/>
          <w:lang w:val="en-US" w:eastAsia="zh-CN"/>
        </w:rPr>
        <w:t>9、受理干部群众对巡察工作人员的举报和反映，提出处理意见。</w:t>
      </w:r>
    </w:p>
    <w:p w14:paraId="7018551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default" w:ascii="仿宋" w:hAnsi="仿宋" w:eastAsia="仿宋" w:cs="仿宋"/>
          <w:b w:val="0"/>
          <w:bCs w:val="0"/>
          <w:color w:val="auto"/>
          <w:sz w:val="32"/>
          <w:szCs w:val="32"/>
          <w:lang w:val="en-US" w:eastAsia="zh-CN"/>
        </w:rPr>
        <w:t>10、负责巡察信息处理和对外宣传公开工作。</w:t>
      </w:r>
    </w:p>
    <w:p w14:paraId="7A8FA3B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default" w:ascii="仿宋" w:hAnsi="仿宋" w:eastAsia="仿宋" w:cs="仿宋"/>
          <w:b w:val="0"/>
          <w:bCs w:val="0"/>
          <w:color w:val="auto"/>
          <w:sz w:val="32"/>
          <w:szCs w:val="32"/>
          <w:lang w:val="en-US" w:eastAsia="zh-CN"/>
        </w:rPr>
        <w:t>11、负责区委巡察机构财务、人事、党群及后勤保障等工作的管理和服务。</w:t>
      </w:r>
    </w:p>
    <w:p w14:paraId="57B13BE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default" w:ascii="仿宋" w:hAnsi="仿宋" w:eastAsia="仿宋" w:cs="仿宋"/>
          <w:b w:val="0"/>
          <w:bCs w:val="0"/>
          <w:color w:val="auto"/>
          <w:sz w:val="32"/>
          <w:szCs w:val="32"/>
          <w:lang w:val="en-US" w:eastAsia="zh-CN"/>
        </w:rPr>
        <w:t xml:space="preserve">12、完成区委和区委巡察工作领导小组交办的其他任务。 </w:t>
      </w:r>
    </w:p>
    <w:p w14:paraId="4612DF6D">
      <w:pPr>
        <w:pStyle w:val="5"/>
        <w:bidi w:val="0"/>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（四）绩效目标设定情况</w:t>
      </w:r>
    </w:p>
    <w:p w14:paraId="487AD86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保证人员经费政策发放；保证单位经费正常运转，工作顺利开展；开展巡察工作。</w:t>
      </w:r>
    </w:p>
    <w:p w14:paraId="2709E568">
      <w:pPr>
        <w:pStyle w:val="5"/>
        <w:bidi w:val="0"/>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二、一般公共预算支出情况</w:t>
      </w:r>
    </w:p>
    <w:p w14:paraId="1B45C17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根据《会计法》《预算法》《行政单位财务规则》等法律和财政部及省财政厅有关财务规章的规定，明确了经费审批权限及程序，经费预算管理、财务经费管理、资产购置与处置、财务监督等。针对“三公”经费探索建立公用经费标准定额体系，开展公用经费使用监督和绩效评估，进一步落实厉行节约的各项规定，确保“三公经费”使用合理合规等。上述制度规定基本执行到位。</w:t>
      </w:r>
    </w:p>
    <w:p w14:paraId="50C141F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2024决算支出279.27万元，其中：基本支出202.75万元，项目支出76.52万元。</w:t>
      </w:r>
    </w:p>
    <w:p w14:paraId="5371E693">
      <w:pPr>
        <w:pStyle w:val="6"/>
        <w:numPr>
          <w:ilvl w:val="0"/>
          <w:numId w:val="1"/>
        </w:numPr>
        <w:bidi w:val="0"/>
        <w:rPr>
          <w:rFonts w:hint="eastAsia"/>
          <w:b/>
          <w:bCs/>
          <w:lang w:val="en-US" w:eastAsia="zh-CN"/>
        </w:rPr>
      </w:pPr>
      <w:r>
        <w:rPr>
          <w:rFonts w:hint="eastAsia"/>
          <w:b/>
          <w:bCs/>
          <w:lang w:val="en-US" w:eastAsia="zh-CN"/>
        </w:rPr>
        <w:t>基本支出情况</w:t>
      </w:r>
    </w:p>
    <w:p w14:paraId="6D94D9B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b w:val="0"/>
          <w:bCs w:val="0"/>
          <w:color w:val="auto"/>
          <w:sz w:val="32"/>
          <w:szCs w:val="32"/>
          <w:lang w:val="en-US" w:eastAsia="zh-CN"/>
        </w:rPr>
        <w:t>基本支出用于为保障各部门、机构正常运转、完成日常工作任务而发生的支出，包括人员经费和公用经费。</w:t>
      </w:r>
    </w:p>
    <w:p w14:paraId="200F281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sz w:val="32"/>
          <w:szCs w:val="32"/>
          <w:lang w:val="en-US" w:eastAsia="zh-CN"/>
        </w:rPr>
        <w:t>2024全年基本支出202.75万元，其中：工资福利支出159.55万元、商品和服务支出40.54万元、对个人和家庭的补助0万元、债务利息及费用支出0万元、资本性支出2.67万元、其他支出0万元。</w:t>
      </w:r>
    </w:p>
    <w:p w14:paraId="3EA671F3">
      <w:pPr>
        <w:pStyle w:val="6"/>
        <w:numPr>
          <w:ilvl w:val="0"/>
          <w:numId w:val="1"/>
        </w:numPr>
        <w:bidi w:val="0"/>
        <w:rPr>
          <w:rFonts w:hint="eastAsia"/>
          <w:b/>
          <w:bCs/>
          <w:lang w:val="en-US" w:eastAsia="zh-CN"/>
        </w:rPr>
      </w:pPr>
      <w:r>
        <w:rPr>
          <w:rFonts w:hint="eastAsia"/>
          <w:b/>
          <w:bCs/>
          <w:lang w:val="en-US" w:eastAsia="zh-CN"/>
        </w:rPr>
        <w:t>项目支出情况</w:t>
      </w:r>
    </w:p>
    <w:p w14:paraId="1DA4D925">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default" w:ascii="仿宋" w:hAnsi="仿宋" w:eastAsia="仿宋" w:cs="仿宋"/>
          <w:b w:val="0"/>
          <w:bCs w:val="0"/>
          <w:color w:val="auto"/>
          <w:sz w:val="32"/>
          <w:szCs w:val="32"/>
          <w:lang w:val="en-US" w:eastAsia="zh-CN"/>
        </w:rPr>
        <w:t>2024年本部门项目支出314.2万元，主要是部门为完成特定行政工作任务或事业发展目标而发生的支出，包括有关事业发展专项、专项业务费、基本建设支出等</w:t>
      </w:r>
      <w:r>
        <w:rPr>
          <w:rFonts w:hint="eastAsia" w:ascii="仿宋" w:hAnsi="仿宋" w:eastAsia="仿宋" w:cs="仿宋"/>
          <w:b w:val="0"/>
          <w:bCs w:val="0"/>
          <w:color w:val="auto"/>
          <w:sz w:val="32"/>
          <w:szCs w:val="32"/>
          <w:lang w:val="en-US" w:eastAsia="zh-CN"/>
        </w:rPr>
        <w:t>。</w:t>
      </w:r>
    </w:p>
    <w:p w14:paraId="3EC9A183">
      <w:pPr>
        <w:pStyle w:val="6"/>
        <w:numPr>
          <w:ilvl w:val="0"/>
          <w:numId w:val="1"/>
        </w:numPr>
        <w:bidi w:val="0"/>
        <w:rPr>
          <w:rFonts w:hint="eastAsia"/>
          <w:b/>
          <w:bCs/>
          <w:lang w:val="en-US" w:eastAsia="zh-CN"/>
        </w:rPr>
      </w:pPr>
      <w:r>
        <w:rPr>
          <w:rFonts w:hint="eastAsia"/>
          <w:b/>
          <w:bCs/>
          <w:lang w:val="en-US" w:eastAsia="zh-CN"/>
        </w:rPr>
        <w:t>“三公”经费的使用和管理情况</w:t>
      </w:r>
    </w:p>
    <w:p w14:paraId="1F4B17A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我单位2024年严格贯彻中央八项规定精神，厉行节约。“三公”经费的使用严格按照文件范围执行，财务人员严把票据审核的关卡，确保资金的合理使用。2024年初财政批复局机关“三公”经费预算数为1万元，其中：公务接待费1万元、因公出国（境）费用0万元、公务用车购置及运行费0万元。全年决算单位支出“三公”经费为0.39万元，其中：公务接待费0.39万元、因公出国（境）费用0万元、公务用车购置及运行费0万元。</w:t>
      </w:r>
    </w:p>
    <w:p w14:paraId="440A6D68">
      <w:pPr>
        <w:pStyle w:val="4"/>
        <w:bidi w:val="0"/>
        <w:ind w:left="0" w:leftChars="0" w:firstLine="0" w:firstLineChars="0"/>
        <w:rPr>
          <w:rFonts w:hint="eastAsia"/>
        </w:rPr>
      </w:pPr>
      <w:r>
        <w:rPr>
          <w:rFonts w:hint="eastAsia"/>
        </w:rPr>
        <w:t>三、政府性基金预算支出情况</w:t>
      </w:r>
    </w:p>
    <w:p w14:paraId="03F116D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2024年本单位无政府性基金预算支出。</w:t>
      </w:r>
    </w:p>
    <w:p w14:paraId="6D0D154D">
      <w:pPr>
        <w:pStyle w:val="4"/>
        <w:bidi w:val="0"/>
        <w:ind w:left="0" w:leftChars="0" w:firstLine="0" w:firstLineChars="0"/>
        <w:rPr>
          <w:rFonts w:hint="eastAsia"/>
        </w:rPr>
      </w:pPr>
      <w:r>
        <w:rPr>
          <w:rFonts w:hint="eastAsia"/>
        </w:rPr>
        <w:t>四、国有资本经营预算支出情况</w:t>
      </w:r>
    </w:p>
    <w:p w14:paraId="2EBFABC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2024年本单位无国有资本经营预算支出。</w:t>
      </w:r>
    </w:p>
    <w:p w14:paraId="28162172">
      <w:pPr>
        <w:pStyle w:val="4"/>
        <w:bidi w:val="0"/>
        <w:ind w:left="0" w:leftChars="0" w:firstLine="0" w:firstLineChars="0"/>
        <w:rPr>
          <w:rFonts w:hint="eastAsia"/>
        </w:rPr>
      </w:pPr>
      <w:r>
        <w:rPr>
          <w:rFonts w:hint="eastAsia"/>
        </w:rPr>
        <w:t>五、社会保险基金预算支出情况</w:t>
      </w:r>
    </w:p>
    <w:p w14:paraId="0503360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2024年本单位无社会保险基金预算支出。</w:t>
      </w:r>
    </w:p>
    <w:p w14:paraId="78FA7F2B">
      <w:pPr>
        <w:pStyle w:val="4"/>
        <w:bidi w:val="0"/>
        <w:ind w:left="0" w:leftChars="0" w:firstLine="0" w:firstLineChars="0"/>
        <w:rPr>
          <w:rFonts w:hint="eastAsia"/>
        </w:rPr>
      </w:pPr>
      <w:r>
        <w:rPr>
          <w:rFonts w:hint="eastAsia"/>
        </w:rPr>
        <w:t>六、部门整体支出绩效情况</w:t>
      </w:r>
    </w:p>
    <w:p w14:paraId="194BEB0B">
      <w:pPr>
        <w:pStyle w:val="5"/>
        <w:pageBreakBefore w:val="0"/>
        <w:widowControl w:val="0"/>
        <w:kinsoku/>
        <w:wordWrap/>
        <w:overflowPunct/>
        <w:topLinePunct w:val="0"/>
        <w:autoSpaceDE/>
        <w:autoSpaceDN/>
        <w:bidi w:val="0"/>
        <w:adjustRightInd/>
        <w:spacing w:line="500" w:lineRule="atLeast"/>
        <w:ind w:left="0" w:leftChars="0" w:firstLine="0" w:firstLineChars="0"/>
        <w:textAlignment w:val="auto"/>
        <w:rPr>
          <w:rFonts w:hint="default"/>
        </w:rPr>
      </w:pPr>
      <w:r>
        <w:rPr>
          <w:rFonts w:hint="default"/>
        </w:rPr>
        <w:t>（一）综合评价结论</w:t>
      </w:r>
    </w:p>
    <w:p w14:paraId="3A398EBA">
      <w:pPr>
        <w:keepNext w:val="0"/>
        <w:keepLines w:val="0"/>
        <w:pageBreakBefore w:val="0"/>
        <w:widowControl w:val="0"/>
        <w:kinsoku/>
        <w:wordWrap/>
        <w:overflowPunct/>
        <w:topLinePunct w:val="0"/>
        <w:autoSpaceDE/>
        <w:autoSpaceDN/>
        <w:bidi w:val="0"/>
        <w:adjustRightInd/>
        <w:snapToGrid/>
        <w:spacing w:beforeAutospacing="0" w:afterAutospacing="0" w:line="500" w:lineRule="atLeast"/>
        <w:ind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b w:val="0"/>
          <w:bCs w:val="0"/>
          <w:color w:val="auto"/>
          <w:sz w:val="32"/>
          <w:szCs w:val="32"/>
          <w:lang w:val="en-US" w:eastAsia="zh-CN"/>
        </w:rPr>
        <w:t>经自评，2024年度我单位部门整体支出绩效评价结论为“优”，自查评分为100分。</w:t>
      </w:r>
    </w:p>
    <w:p w14:paraId="0BE94D4E">
      <w:pPr>
        <w:pStyle w:val="5"/>
        <w:pageBreakBefore w:val="0"/>
        <w:widowControl w:val="0"/>
        <w:kinsoku/>
        <w:wordWrap/>
        <w:overflowPunct/>
        <w:topLinePunct w:val="0"/>
        <w:autoSpaceDE/>
        <w:autoSpaceDN/>
        <w:bidi w:val="0"/>
        <w:adjustRightInd/>
        <w:spacing w:line="500" w:lineRule="atLeast"/>
        <w:ind w:left="0" w:leftChars="0" w:firstLine="0" w:firstLineChars="0"/>
        <w:textAlignment w:val="auto"/>
        <w:rPr>
          <w:rFonts w:hint="default"/>
        </w:rPr>
      </w:pPr>
      <w:r>
        <w:rPr>
          <w:rFonts w:hint="default"/>
        </w:rPr>
        <w:t>（二）评价指标分析</w:t>
      </w:r>
    </w:p>
    <w:p w14:paraId="539CAF73">
      <w:pPr>
        <w:keepNext w:val="0"/>
        <w:keepLines w:val="0"/>
        <w:pageBreakBefore w:val="0"/>
        <w:widowControl w:val="0"/>
        <w:kinsoku/>
        <w:wordWrap/>
        <w:overflowPunct/>
        <w:topLinePunct w:val="0"/>
        <w:autoSpaceDE/>
        <w:autoSpaceDN/>
        <w:bidi w:val="0"/>
        <w:adjustRightInd/>
        <w:snapToGrid w:val="0"/>
        <w:spacing w:beforeAutospacing="0" w:afterAutospacing="0" w:line="500" w:lineRule="atLeast"/>
        <w:ind w:right="-105" w:rightChars="-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1、产出指标情况分析</w:t>
      </w:r>
      <w:r>
        <w:rPr>
          <w:rFonts w:hint="eastAsia" w:ascii="仿宋" w:hAnsi="仿宋" w:eastAsia="仿宋" w:cs="仿宋"/>
          <w:b w:val="0"/>
          <w:bCs w:val="0"/>
          <w:color w:val="auto"/>
          <w:sz w:val="32"/>
          <w:szCs w:val="32"/>
          <w:lang w:val="en-US" w:eastAsia="zh-CN"/>
        </w:rPr>
        <w:t>。产出目标主要是从部门履职方面进行分析，总分值为50分，评价得分50分，得分率100%。</w:t>
      </w:r>
    </w:p>
    <w:p w14:paraId="2EC25B99">
      <w:pPr>
        <w:keepNext w:val="0"/>
        <w:keepLines w:val="0"/>
        <w:pageBreakBefore w:val="0"/>
        <w:widowControl w:val="0"/>
        <w:kinsoku/>
        <w:wordWrap/>
        <w:overflowPunct/>
        <w:topLinePunct w:val="0"/>
        <w:autoSpaceDE/>
        <w:autoSpaceDN/>
        <w:bidi w:val="0"/>
        <w:adjustRightInd/>
        <w:snapToGrid/>
        <w:spacing w:beforeAutospacing="0" w:afterAutospacing="0" w:line="500" w:lineRule="atLeas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 数量指标完成情况</w:t>
      </w:r>
    </w:p>
    <w:p w14:paraId="5CEFE21F">
      <w:pPr>
        <w:keepNext w:val="0"/>
        <w:keepLines w:val="0"/>
        <w:pageBreakBefore w:val="0"/>
        <w:widowControl w:val="0"/>
        <w:kinsoku/>
        <w:wordWrap/>
        <w:overflowPunct/>
        <w:topLinePunct w:val="0"/>
        <w:autoSpaceDE/>
        <w:autoSpaceDN/>
        <w:bidi w:val="0"/>
        <w:adjustRightInd/>
        <w:snapToGrid/>
        <w:spacing w:beforeAutospacing="0" w:afterAutospacing="0" w:line="520" w:lineRule="atLeast"/>
        <w:ind w:firstLine="480" w:firstLineChars="1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巡察组派出数量：全年共派出16个巡察组。</w:t>
      </w:r>
    </w:p>
    <w:p w14:paraId="223A4C1E">
      <w:pPr>
        <w:keepNext w:val="0"/>
        <w:keepLines w:val="0"/>
        <w:pageBreakBefore w:val="0"/>
        <w:widowControl w:val="0"/>
        <w:kinsoku/>
        <w:wordWrap/>
        <w:overflowPunct/>
        <w:topLinePunct w:val="0"/>
        <w:autoSpaceDE/>
        <w:autoSpaceDN/>
        <w:bidi w:val="0"/>
        <w:adjustRightInd/>
        <w:snapToGrid/>
        <w:spacing w:beforeAutospacing="0" w:afterAutospacing="0" w:line="520" w:lineRule="atLeast"/>
        <w:ind w:firstLine="480" w:firstLineChars="1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巡察单位数量：对24家部门单位、18个村(社区)开展了巡察，其中区直部门单位巡察覆盖率达81.36%，村(社区)巡察覆盖率达69.64%。</w:t>
      </w:r>
    </w:p>
    <w:p w14:paraId="74B0E751">
      <w:pPr>
        <w:keepNext w:val="0"/>
        <w:keepLines w:val="0"/>
        <w:pageBreakBefore w:val="0"/>
        <w:widowControl w:val="0"/>
        <w:kinsoku/>
        <w:wordWrap/>
        <w:overflowPunct/>
        <w:topLinePunct w:val="0"/>
        <w:autoSpaceDE/>
        <w:autoSpaceDN/>
        <w:bidi w:val="0"/>
        <w:adjustRightInd/>
        <w:snapToGrid/>
        <w:spacing w:beforeAutospacing="0" w:afterAutospacing="0" w:line="520" w:lineRule="atLeast"/>
        <w:ind w:firstLine="480" w:firstLineChars="1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问题线索处理数量：发现问题线索678个，移交至区纪委监委线索56条；立案75人，给予党纪政务处分75人。</w:t>
      </w:r>
    </w:p>
    <w:p w14:paraId="082FEB8F">
      <w:pPr>
        <w:keepNext w:val="0"/>
        <w:keepLines w:val="0"/>
        <w:pageBreakBefore w:val="0"/>
        <w:widowControl w:val="0"/>
        <w:kinsoku/>
        <w:wordWrap/>
        <w:overflowPunct/>
        <w:topLinePunct w:val="0"/>
        <w:autoSpaceDE/>
        <w:autoSpaceDN/>
        <w:bidi w:val="0"/>
        <w:adjustRightInd/>
        <w:snapToGrid/>
        <w:spacing w:beforeAutospacing="0" w:afterAutospacing="0" w:line="520" w:lineRule="atLeast"/>
        <w:ind w:firstLine="480" w:firstLineChars="1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整改问题数量：反馈问题244个（第五轮巡察和政法专项巡察），已完成整改171个；反馈问题253个（第三轮、第四轮巡察及区交通运输局党组），已完成整改247个。</w:t>
      </w:r>
    </w:p>
    <w:p w14:paraId="61A41D30">
      <w:pPr>
        <w:keepNext w:val="0"/>
        <w:keepLines w:val="0"/>
        <w:pageBreakBefore w:val="0"/>
        <w:widowControl w:val="0"/>
        <w:kinsoku/>
        <w:wordWrap/>
        <w:overflowPunct/>
        <w:topLinePunct w:val="0"/>
        <w:autoSpaceDE/>
        <w:autoSpaceDN/>
        <w:bidi w:val="0"/>
        <w:adjustRightInd/>
        <w:snapToGrid/>
        <w:spacing w:beforeAutospacing="0" w:afterAutospacing="0" w:line="520" w:lineRule="atLeast"/>
        <w:ind w:firstLine="480" w:firstLineChars="1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制度建设数量：修订完善制度90项（第五轮巡察和政法专项巡察），修订完善制度55项（第三轮、第四轮巡察）。</w:t>
      </w:r>
    </w:p>
    <w:p w14:paraId="02763091">
      <w:pPr>
        <w:keepNext w:val="0"/>
        <w:keepLines w:val="0"/>
        <w:pageBreakBefore w:val="0"/>
        <w:widowControl w:val="0"/>
        <w:kinsoku/>
        <w:wordWrap/>
        <w:overflowPunct/>
        <w:topLinePunct w:val="0"/>
        <w:autoSpaceDE/>
        <w:autoSpaceDN/>
        <w:bidi w:val="0"/>
        <w:adjustRightInd/>
        <w:snapToGrid/>
        <w:spacing w:beforeAutospacing="0" w:afterAutospacing="0" w:line="520" w:lineRule="atLeast"/>
        <w:ind w:firstLine="480" w:firstLineChars="1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学习教育数量：召开党员大会学习14次，学习与解读《中国共产党纪律处分条例》4次，集中观看警示教育片4次，开展主题党日活动2次。</w:t>
      </w:r>
    </w:p>
    <w:p w14:paraId="5DA4C223">
      <w:pPr>
        <w:keepNext w:val="0"/>
        <w:keepLines w:val="0"/>
        <w:pageBreakBefore w:val="0"/>
        <w:widowControl w:val="0"/>
        <w:kinsoku/>
        <w:wordWrap/>
        <w:overflowPunct/>
        <w:topLinePunct w:val="0"/>
        <w:autoSpaceDE/>
        <w:autoSpaceDN/>
        <w:bidi w:val="0"/>
        <w:adjustRightInd/>
        <w:snapToGrid/>
        <w:spacing w:beforeAutospacing="0" w:afterAutospacing="0" w:line="500" w:lineRule="atLeas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 质量指标完成情况​</w:t>
      </w:r>
    </w:p>
    <w:p w14:paraId="4C3CC763">
      <w:pPr>
        <w:keepNext w:val="0"/>
        <w:keepLines w:val="0"/>
        <w:pageBreakBefore w:val="0"/>
        <w:widowControl w:val="0"/>
        <w:kinsoku/>
        <w:wordWrap/>
        <w:overflowPunct/>
        <w:topLinePunct w:val="0"/>
        <w:autoSpaceDE/>
        <w:autoSpaceDN/>
        <w:bidi w:val="0"/>
        <w:adjustRightInd/>
        <w:snapToGrid/>
        <w:spacing w:beforeAutospacing="0" w:afterAutospacing="0" w:line="520" w:lineRule="atLeast"/>
        <w:ind w:firstLine="480" w:firstLineChars="1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巡察深度：通过常规巡、专项巡、机动巡和对村巡相结合，提升震慑性；例如，专项巡察聚焦政法领域、卫健系统和高标准农田建设领域，发现问题线索188个；机动巡察针对学校食堂、棚改领域及群腐问题，发现问题线索50个；对村巡以巡乡带村和直接巡村方式，发现问题线索150个。</w:t>
      </w:r>
    </w:p>
    <w:p w14:paraId="55682719">
      <w:pPr>
        <w:keepNext w:val="0"/>
        <w:keepLines w:val="0"/>
        <w:pageBreakBefore w:val="0"/>
        <w:widowControl w:val="0"/>
        <w:kinsoku/>
        <w:wordWrap/>
        <w:overflowPunct/>
        <w:topLinePunct w:val="0"/>
        <w:autoSpaceDE/>
        <w:autoSpaceDN/>
        <w:bidi w:val="0"/>
        <w:adjustRightInd/>
        <w:snapToGrid/>
        <w:spacing w:beforeAutospacing="0" w:afterAutospacing="0" w:line="520" w:lineRule="atLeast"/>
        <w:ind w:firstLine="480" w:firstLineChars="1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整改质量：整改完成率达70.08%（第五轮巡察和政法专项巡察）和97.63%（第三轮、第四轮巡察）；通过整改培训、答辩机制和督查通报，推动清缴清退资金47.25万元（第五轮巡察和政法专项巡察）和66.67万元（第三轮、第四轮巡察）；给予党纪政务处分38人、组织处理40人（第五轮巡察和政法专项巡察），给予党纪政务处分19人、组织处理64人（第三轮、第四轮巡察）。</w:t>
      </w:r>
    </w:p>
    <w:p w14:paraId="1BA6C552">
      <w:pPr>
        <w:keepNext w:val="0"/>
        <w:keepLines w:val="0"/>
        <w:pageBreakBefore w:val="0"/>
        <w:widowControl w:val="0"/>
        <w:kinsoku/>
        <w:wordWrap/>
        <w:overflowPunct/>
        <w:topLinePunct w:val="0"/>
        <w:autoSpaceDE/>
        <w:autoSpaceDN/>
        <w:bidi w:val="0"/>
        <w:adjustRightInd/>
        <w:snapToGrid/>
        <w:spacing w:beforeAutospacing="0" w:afterAutospacing="0" w:line="520" w:lineRule="atLeast"/>
        <w:ind w:firstLine="480" w:firstLineChars="1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学习教育质量：以集中学、专题学、交流学等方式深化理论武装，开展交流讨论4次，组织知识竞赛强化学习成果；党纪学习教育工作深入开展，提升党员干部遵规守纪意识。</w:t>
      </w:r>
    </w:p>
    <w:p w14:paraId="4A682CC5">
      <w:pPr>
        <w:keepNext w:val="0"/>
        <w:keepLines w:val="0"/>
        <w:pageBreakBefore w:val="0"/>
        <w:widowControl w:val="0"/>
        <w:kinsoku/>
        <w:wordWrap/>
        <w:overflowPunct/>
        <w:topLinePunct w:val="0"/>
        <w:autoSpaceDE/>
        <w:autoSpaceDN/>
        <w:bidi w:val="0"/>
        <w:adjustRightInd/>
        <w:snapToGrid/>
        <w:spacing w:beforeAutospacing="0" w:afterAutospacing="0" w:line="500" w:lineRule="atLeas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（三）时效指标完成情况​</w:t>
      </w:r>
    </w:p>
    <w:p w14:paraId="471CF75E">
      <w:pPr>
        <w:keepNext w:val="0"/>
        <w:keepLines w:val="0"/>
        <w:pageBreakBefore w:val="0"/>
        <w:widowControl w:val="0"/>
        <w:kinsoku/>
        <w:wordWrap/>
        <w:overflowPunct/>
        <w:topLinePunct w:val="0"/>
        <w:autoSpaceDE/>
        <w:autoSpaceDN/>
        <w:bidi w:val="0"/>
        <w:adjustRightInd/>
        <w:snapToGrid/>
        <w:spacing w:beforeAutospacing="0" w:afterAutospacing="0" w:line="520" w:lineRule="atLeast"/>
        <w:ind w:firstLine="480" w:firstLineChars="1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各项工作均于2024年12月31日前完成。</w:t>
      </w:r>
    </w:p>
    <w:p w14:paraId="617400F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atLeas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2、效益指标情况分析</w:t>
      </w:r>
      <w:r>
        <w:rPr>
          <w:rFonts w:hint="eastAsia" w:ascii="仿宋" w:hAnsi="仿宋" w:eastAsia="仿宋" w:cs="仿宋"/>
          <w:b w:val="0"/>
          <w:bCs w:val="0"/>
          <w:color w:val="auto"/>
          <w:sz w:val="32"/>
          <w:szCs w:val="32"/>
          <w:lang w:val="en-US" w:eastAsia="zh-CN"/>
        </w:rPr>
        <w:t>。效益目标主要是从社会、经济、生态、可持续影响四个方面进行分析，总分值为30分，评价得分30分，得分率100%。</w:t>
      </w:r>
    </w:p>
    <w:p w14:paraId="4989F0D3">
      <w:pPr>
        <w:keepNext w:val="0"/>
        <w:keepLines w:val="0"/>
        <w:pageBreakBefore w:val="0"/>
        <w:widowControl w:val="0"/>
        <w:kinsoku/>
        <w:wordWrap/>
        <w:overflowPunct/>
        <w:topLinePunct w:val="0"/>
        <w:autoSpaceDE/>
        <w:autoSpaceDN/>
        <w:bidi w:val="0"/>
        <w:adjustRightInd/>
        <w:snapToGrid/>
        <w:spacing w:beforeAutospacing="0" w:afterAutospacing="0" w:line="500" w:lineRule="atLeas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（一）社会效益指标</w:t>
      </w:r>
    </w:p>
    <w:p w14:paraId="5E029213">
      <w:pPr>
        <w:keepNext w:val="0"/>
        <w:keepLines w:val="0"/>
        <w:pageBreakBefore w:val="0"/>
        <w:widowControl w:val="0"/>
        <w:kinsoku/>
        <w:wordWrap/>
        <w:overflowPunct/>
        <w:topLinePunct w:val="0"/>
        <w:autoSpaceDE/>
        <w:autoSpaceDN/>
        <w:bidi w:val="0"/>
        <w:adjustRightInd/>
        <w:snapToGrid/>
        <w:spacing w:beforeAutospacing="0" w:afterAutospacing="0" w:line="520" w:lineRule="atLeast"/>
        <w:ind w:firstLine="480" w:firstLineChars="1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群众知晓度提升：通过“掌上云溪”、巴陵风纪网发布巡察公告，在被巡察单位设置信箱、张贴公告，公布接访电话和地址，让干部群众了解、支持和参与巡察。</w:t>
      </w:r>
    </w:p>
    <w:p w14:paraId="533CAE54">
      <w:pPr>
        <w:keepNext w:val="0"/>
        <w:keepLines w:val="0"/>
        <w:pageBreakBefore w:val="0"/>
        <w:widowControl w:val="0"/>
        <w:kinsoku/>
        <w:wordWrap/>
        <w:overflowPunct/>
        <w:topLinePunct w:val="0"/>
        <w:autoSpaceDE/>
        <w:autoSpaceDN/>
        <w:bidi w:val="0"/>
        <w:adjustRightInd/>
        <w:snapToGrid/>
        <w:spacing w:beforeAutospacing="0" w:afterAutospacing="0" w:line="520" w:lineRule="atLeast"/>
        <w:ind w:firstLine="480" w:firstLineChars="1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民生问题解决：着力发现和推动立行立改问题135个，如解决“沟渠焕新颜”“助力村民房屋‘步步放心’”等民生关切，经验稿件在湖南巡视公众号刊发；宣传片《巡察在乡间的小路上》在湖南卫视播出，提升巡察影响力。</w:t>
      </w:r>
    </w:p>
    <w:p w14:paraId="1C63BB68">
      <w:pPr>
        <w:keepNext w:val="0"/>
        <w:keepLines w:val="0"/>
        <w:pageBreakBefore w:val="0"/>
        <w:widowControl w:val="0"/>
        <w:kinsoku/>
        <w:wordWrap/>
        <w:overflowPunct/>
        <w:topLinePunct w:val="0"/>
        <w:autoSpaceDE/>
        <w:autoSpaceDN/>
        <w:bidi w:val="0"/>
        <w:adjustRightInd/>
        <w:snapToGrid/>
        <w:spacing w:beforeAutospacing="0" w:afterAutospacing="0" w:line="520" w:lineRule="atLeast"/>
        <w:ind w:firstLine="480" w:firstLineChars="1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社会监督强化：推动清缴清退资金共47.25万元和66.67万元，维护公共利益；给予党纪政务处分和组织处理共计161人（第五轮巡察和政法专项巡察78人、第三轮第四轮巡察83人），强化震慑效果，促进社会公平正义。</w:t>
      </w:r>
    </w:p>
    <w:p w14:paraId="48A6AECF">
      <w:pPr>
        <w:keepNext w:val="0"/>
        <w:keepLines w:val="0"/>
        <w:pageBreakBefore w:val="0"/>
        <w:widowControl w:val="0"/>
        <w:kinsoku/>
        <w:wordWrap/>
        <w:overflowPunct/>
        <w:topLinePunct w:val="0"/>
        <w:autoSpaceDE/>
        <w:autoSpaceDN/>
        <w:bidi w:val="0"/>
        <w:adjustRightInd/>
        <w:snapToGrid/>
        <w:spacing w:beforeAutospacing="0" w:afterAutospacing="0" w:line="500" w:lineRule="atLeas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（二）可持续影响指标</w:t>
      </w:r>
    </w:p>
    <w:p w14:paraId="5DAB52DC">
      <w:pPr>
        <w:keepNext w:val="0"/>
        <w:keepLines w:val="0"/>
        <w:pageBreakBefore w:val="0"/>
        <w:widowControl w:val="0"/>
        <w:kinsoku/>
        <w:wordWrap/>
        <w:overflowPunct/>
        <w:topLinePunct w:val="0"/>
        <w:autoSpaceDE/>
        <w:autoSpaceDN/>
        <w:bidi w:val="0"/>
        <w:adjustRightInd/>
        <w:snapToGrid/>
        <w:spacing w:beforeAutospacing="0" w:afterAutospacing="0" w:line="520" w:lineRule="atLeast"/>
        <w:ind w:firstLine="480" w:firstLineChars="1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制度体系建设：出台《云溪区村级巡察整改“观测员”工作运行办法(试行)》(岳云巡发[2024]7号)，选派村级巡察整改“观测员”并组织培训；起草《关于建立健全区委巡察机构与人大常委会机关工作协调协作机制的意见》《关于建立健全区委巡察机构与区政协机关工作协调协作机制的意见》，促进监督贯通协调。</w:t>
      </w:r>
    </w:p>
    <w:p w14:paraId="48BBA49C">
      <w:pPr>
        <w:keepNext w:val="0"/>
        <w:keepLines w:val="0"/>
        <w:pageBreakBefore w:val="0"/>
        <w:widowControl w:val="0"/>
        <w:kinsoku/>
        <w:wordWrap/>
        <w:overflowPunct/>
        <w:topLinePunct w:val="0"/>
        <w:autoSpaceDE/>
        <w:autoSpaceDN/>
        <w:bidi w:val="0"/>
        <w:adjustRightInd/>
        <w:snapToGrid/>
        <w:spacing w:beforeAutospacing="0" w:afterAutospacing="0" w:line="520" w:lineRule="atLeast"/>
        <w:ind w:firstLine="480" w:firstLineChars="1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规范化长效机制：健全巡察整改责任体系，如召开巡察整改同类同改工作会议，建立“区委领导、镇(街道)主责、村级落实、区直部门单位协同”体系；推动巡察工作规范化建设，梳理制度文件并制订“废立改”清单，逐步构建配套完备、有效管用的制度体系。</w:t>
      </w:r>
    </w:p>
    <w:p w14:paraId="756690B8">
      <w:pPr>
        <w:keepNext w:val="0"/>
        <w:keepLines w:val="0"/>
        <w:pageBreakBefore w:val="0"/>
        <w:widowControl w:val="0"/>
        <w:kinsoku/>
        <w:wordWrap/>
        <w:overflowPunct/>
        <w:topLinePunct w:val="0"/>
        <w:autoSpaceDE/>
        <w:autoSpaceDN/>
        <w:bidi w:val="0"/>
        <w:adjustRightInd/>
        <w:snapToGrid/>
        <w:spacing w:beforeAutospacing="0" w:afterAutospacing="0" w:line="520" w:lineRule="atLeast"/>
        <w:ind w:firstLine="480" w:firstLineChars="1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持续深化效果：强化对村巡察工作，通过深入调研、分类施策和一体整改，推动以巡促改、以巡促建、以巡促治；观测员机制和协调协作机制为未来工作提供制度保障，确保巡察工作向下延伸和长效发展。</w:t>
      </w:r>
    </w:p>
    <w:p w14:paraId="0A26658B">
      <w:pPr>
        <w:keepNext w:val="0"/>
        <w:keepLines w:val="0"/>
        <w:pageBreakBefore w:val="0"/>
        <w:widowControl w:val="0"/>
        <w:kinsoku/>
        <w:wordWrap/>
        <w:overflowPunct/>
        <w:topLinePunct w:val="0"/>
        <w:autoSpaceDE/>
        <w:autoSpaceDN/>
        <w:bidi w:val="0"/>
        <w:adjustRightInd/>
        <w:snapToGrid/>
        <w:spacing w:beforeAutospacing="0" w:afterAutospacing="0" w:line="500" w:lineRule="atLeast"/>
        <w:textAlignment w:val="auto"/>
        <w:rPr>
          <w:rFonts w:hint="eastAsia" w:ascii="仿宋_GB2312" w:hAnsi="仿宋_GB2312" w:eastAsia="仿宋_GB2312" w:cs="仿宋_GB2312"/>
          <w:b w:val="0"/>
          <w:bCs w:val="0"/>
          <w:color w:val="auto"/>
          <w:sz w:val="32"/>
          <w:szCs w:val="32"/>
          <w:lang w:val="en-US" w:eastAsia="zh-CN"/>
        </w:rPr>
      </w:pPr>
      <w:r>
        <w:rPr>
          <w:rFonts w:hint="eastAsia" w:ascii="仿宋" w:hAnsi="仿宋" w:eastAsia="仿宋" w:cs="仿宋"/>
          <w:b/>
          <w:bCs/>
          <w:color w:val="auto"/>
          <w:sz w:val="32"/>
          <w:szCs w:val="32"/>
          <w:lang w:val="en-US" w:eastAsia="zh-CN"/>
        </w:rPr>
        <w:t>3、社会公众或服务对象满意度</w:t>
      </w:r>
      <w:r>
        <w:rPr>
          <w:rFonts w:hint="eastAsia" w:ascii="仿宋" w:hAnsi="仿宋" w:eastAsia="仿宋" w:cs="仿宋"/>
          <w:b w:val="0"/>
          <w:bCs w:val="0"/>
          <w:color w:val="auto"/>
          <w:sz w:val="32"/>
          <w:szCs w:val="32"/>
          <w:lang w:val="en-US" w:eastAsia="zh-CN"/>
        </w:rPr>
        <w:t>。社会公众或服务对象满意度主要是从社会群众对巡察工作满意度进行分析，总分值为10分，评价得分10分，得分率100%</w:t>
      </w:r>
      <w:r>
        <w:rPr>
          <w:rFonts w:hint="eastAsia" w:ascii="仿宋_GB2312" w:hAnsi="仿宋_GB2312" w:eastAsia="仿宋_GB2312" w:cs="仿宋_GB2312"/>
          <w:b w:val="0"/>
          <w:bCs w:val="0"/>
          <w:color w:val="auto"/>
          <w:sz w:val="32"/>
          <w:szCs w:val="32"/>
          <w:lang w:val="en-US" w:eastAsia="zh-CN"/>
        </w:rPr>
        <w:t>。</w:t>
      </w:r>
    </w:p>
    <w:p w14:paraId="6B6B8A8C">
      <w:pPr>
        <w:pStyle w:val="4"/>
        <w:bidi w:val="0"/>
        <w:ind w:left="0" w:leftChars="0" w:firstLine="0" w:firstLineChars="0"/>
        <w:rPr>
          <w:rFonts w:hint="eastAsia"/>
        </w:rPr>
      </w:pPr>
      <w:r>
        <w:rPr>
          <w:rFonts w:hint="eastAsia"/>
        </w:rPr>
        <w:t>七、存在的问题及原因分析</w:t>
      </w:r>
    </w:p>
    <w:p w14:paraId="5837FE4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2024我单位无预算支出执行偏离绩效目标的情况。</w:t>
      </w:r>
    </w:p>
    <w:p w14:paraId="43CCDDD3">
      <w:pPr>
        <w:pStyle w:val="4"/>
        <w:bidi w:val="0"/>
        <w:ind w:left="0" w:leftChars="0" w:firstLine="0" w:firstLineChars="0"/>
        <w:rPr>
          <w:rFonts w:hint="eastAsia"/>
        </w:rPr>
      </w:pPr>
      <w:r>
        <w:rPr>
          <w:rFonts w:hint="eastAsia"/>
        </w:rPr>
        <w:t>八、下一步改进措施</w:t>
      </w:r>
    </w:p>
    <w:p w14:paraId="62E5C425">
      <w:pPr>
        <w:pStyle w:val="15"/>
        <w:spacing w:line="600" w:lineRule="exact"/>
        <w:ind w:firstLine="643"/>
        <w:rPr>
          <w:rFonts w:hint="eastAsia" w:ascii="仿宋_GB2312" w:eastAsia="仿宋_GB2312"/>
          <w:color w:val="000000"/>
          <w:sz w:val="32"/>
          <w:szCs w:val="32"/>
        </w:rPr>
      </w:pPr>
      <w:r>
        <w:rPr>
          <w:rFonts w:hint="eastAsia" w:ascii="仿宋_GB2312" w:eastAsia="仿宋_GB2312"/>
          <w:color w:val="000000"/>
          <w:sz w:val="32"/>
          <w:szCs w:val="32"/>
          <w:lang w:val="en-US" w:eastAsia="zh-CN"/>
        </w:rPr>
        <w:t>无。</w:t>
      </w:r>
    </w:p>
    <w:p w14:paraId="44B5819F">
      <w:pPr>
        <w:pStyle w:val="4"/>
        <w:bidi w:val="0"/>
        <w:ind w:left="0" w:leftChars="0" w:firstLine="0" w:firstLineChars="0"/>
        <w:rPr>
          <w:rFonts w:hint="eastAsia"/>
          <w:lang w:val="en-US" w:eastAsia="en-US"/>
        </w:rPr>
      </w:pPr>
      <w:r>
        <w:rPr>
          <w:rFonts w:hint="eastAsia"/>
          <w:lang w:val="en-US" w:eastAsia="en-US"/>
        </w:rPr>
        <w:t>九、其他需要说明的情况</w:t>
      </w:r>
    </w:p>
    <w:p w14:paraId="0875CA94">
      <w:pPr>
        <w:pStyle w:val="15"/>
        <w:spacing w:line="600" w:lineRule="exact"/>
        <w:ind w:firstLine="643"/>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无。</w:t>
      </w:r>
    </w:p>
    <w:p w14:paraId="28A7C9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14069">
    <w:pPr>
      <w:pStyle w:val="2"/>
      <w:framePr w:wrap="around" w:vAnchor="text" w:hAnchor="margin" w:xAlign="outside" w:y="1"/>
      <w:rPr>
        <w:rStyle w:val="10"/>
        <w:sz w:val="24"/>
        <w:szCs w:val="24"/>
      </w:rPr>
    </w:pPr>
    <w:r>
      <w:rPr>
        <w:rStyle w:val="10"/>
        <w:rFonts w:hint="eastAsia"/>
        <w:sz w:val="24"/>
        <w:szCs w:val="24"/>
      </w:rPr>
      <w:t xml:space="preserve">— </w:t>
    </w: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2</w:t>
    </w:r>
    <w:r>
      <w:rPr>
        <w:sz w:val="24"/>
        <w:szCs w:val="24"/>
      </w:rPr>
      <w:fldChar w:fldCharType="end"/>
    </w:r>
    <w:r>
      <w:rPr>
        <w:rStyle w:val="10"/>
        <w:rFonts w:hint="eastAsia"/>
        <w:sz w:val="24"/>
        <w:szCs w:val="24"/>
      </w:rPr>
      <w:t xml:space="preserve"> —</w:t>
    </w:r>
  </w:p>
  <w:p w14:paraId="5B692913">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844DB">
    <w:pPr>
      <w:framePr w:wrap="around" w:vAnchor="text" w:hAnchor="margin" w:xAlign="outside" w:y="1"/>
    </w:pPr>
    <w:r>
      <w:fldChar w:fldCharType="begin"/>
    </w:r>
    <w:r>
      <w:instrText xml:space="preserve">PAGE  </w:instrText>
    </w:r>
    <w:r>
      <w:fldChar w:fldCharType="separate"/>
    </w:r>
    <w:r>
      <w:t>- 15 -</w:t>
    </w:r>
    <w:r>
      <w:fldChar w:fldCharType="end"/>
    </w:r>
  </w:p>
  <w:p w14:paraId="7D2B8D64">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498EA"/>
    <w:multiLevelType w:val="singleLevel"/>
    <w:tmpl w:val="387498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32B47A9"/>
    <w:rsid w:val="03652CA2"/>
    <w:rsid w:val="03AA1A5C"/>
    <w:rsid w:val="04D255BF"/>
    <w:rsid w:val="05375E6B"/>
    <w:rsid w:val="0C791C75"/>
    <w:rsid w:val="11DD21FB"/>
    <w:rsid w:val="12524FF3"/>
    <w:rsid w:val="14981890"/>
    <w:rsid w:val="152C2AC9"/>
    <w:rsid w:val="1711679D"/>
    <w:rsid w:val="186A0D56"/>
    <w:rsid w:val="1D470521"/>
    <w:rsid w:val="20756E2D"/>
    <w:rsid w:val="20853119"/>
    <w:rsid w:val="223741BE"/>
    <w:rsid w:val="223E5BEA"/>
    <w:rsid w:val="2551032A"/>
    <w:rsid w:val="27D863C0"/>
    <w:rsid w:val="286D547B"/>
    <w:rsid w:val="2AB54840"/>
    <w:rsid w:val="2AE61515"/>
    <w:rsid w:val="2D7E77E3"/>
    <w:rsid w:val="2DD67B47"/>
    <w:rsid w:val="342D6CBE"/>
    <w:rsid w:val="3440400D"/>
    <w:rsid w:val="38D17A67"/>
    <w:rsid w:val="3B5877A1"/>
    <w:rsid w:val="3D8E5AC6"/>
    <w:rsid w:val="3DE6565C"/>
    <w:rsid w:val="3F0572F9"/>
    <w:rsid w:val="41203882"/>
    <w:rsid w:val="42075CA8"/>
    <w:rsid w:val="447A08AC"/>
    <w:rsid w:val="44C23205"/>
    <w:rsid w:val="456D6663"/>
    <w:rsid w:val="45795F75"/>
    <w:rsid w:val="4E2776C4"/>
    <w:rsid w:val="4E4A5CD1"/>
    <w:rsid w:val="4E8B1F67"/>
    <w:rsid w:val="52AB4326"/>
    <w:rsid w:val="55BA31FE"/>
    <w:rsid w:val="58871392"/>
    <w:rsid w:val="596423C7"/>
    <w:rsid w:val="59A9515E"/>
    <w:rsid w:val="5BC326E1"/>
    <w:rsid w:val="5CC772D2"/>
    <w:rsid w:val="5F663B83"/>
    <w:rsid w:val="5F8D53A3"/>
    <w:rsid w:val="624A5785"/>
    <w:rsid w:val="624F2C18"/>
    <w:rsid w:val="62724E61"/>
    <w:rsid w:val="63660064"/>
    <w:rsid w:val="63732A0E"/>
    <w:rsid w:val="63E53BC8"/>
    <w:rsid w:val="64673F7C"/>
    <w:rsid w:val="65D00FC6"/>
    <w:rsid w:val="66E16CBE"/>
    <w:rsid w:val="69C12CD2"/>
    <w:rsid w:val="6B38404F"/>
    <w:rsid w:val="6B8A28E3"/>
    <w:rsid w:val="705F56DB"/>
    <w:rsid w:val="70730722"/>
    <w:rsid w:val="724D0AFE"/>
    <w:rsid w:val="73C70602"/>
    <w:rsid w:val="76C92F4B"/>
    <w:rsid w:val="785771FF"/>
    <w:rsid w:val="787E1F69"/>
    <w:rsid w:val="78A50E3F"/>
    <w:rsid w:val="7A627C0D"/>
    <w:rsid w:val="7AAC2882"/>
    <w:rsid w:val="7C582B10"/>
    <w:rsid w:val="7DAD0FE3"/>
    <w:rsid w:val="7DED5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Lines="0" w:beforeAutospacing="0" w:afterLines="0" w:afterAutospacing="0" w:line="560" w:lineRule="exact"/>
      <w:ind w:firstLine="640" w:firstLineChars="200"/>
      <w:outlineLvl w:val="0"/>
    </w:pPr>
    <w:rPr>
      <w:rFonts w:eastAsia="黑体" w:asciiTheme="minorAscii" w:hAnsiTheme="minorAscii"/>
      <w:b/>
      <w:kern w:val="44"/>
      <w:sz w:val="32"/>
    </w:rPr>
  </w:style>
  <w:style w:type="paragraph" w:styleId="5">
    <w:name w:val="heading 2"/>
    <w:basedOn w:val="1"/>
    <w:next w:val="1"/>
    <w:autoRedefine/>
    <w:unhideWhenUsed/>
    <w:qFormat/>
    <w:uiPriority w:val="0"/>
    <w:pPr>
      <w:keepNext/>
      <w:keepLines/>
      <w:spacing w:line="560" w:lineRule="exact"/>
      <w:ind w:firstLine="200" w:firstLineChars="200"/>
      <w:outlineLvl w:val="1"/>
    </w:pPr>
    <w:rPr>
      <w:rFonts w:eastAsia="楷体_GB2312" w:asciiTheme="majorAscii" w:hAnsiTheme="majorAscii" w:cstheme="majorBidi"/>
      <w:b/>
      <w:bCs/>
      <w:sz w:val="32"/>
      <w:szCs w:val="32"/>
    </w:rPr>
  </w:style>
  <w:style w:type="paragraph" w:styleId="6">
    <w:name w:val="heading 3"/>
    <w:basedOn w:val="1"/>
    <w:next w:val="1"/>
    <w:autoRedefine/>
    <w:unhideWhenUsed/>
    <w:qFormat/>
    <w:uiPriority w:val="0"/>
    <w:pPr>
      <w:keepNext/>
      <w:keepLines/>
      <w:spacing w:beforeLines="0" w:beforeAutospacing="0" w:afterLines="0" w:afterAutospacing="0" w:line="560" w:lineRule="exact"/>
      <w:ind w:firstLine="640" w:firstLineChars="200"/>
      <w:outlineLvl w:val="2"/>
    </w:pPr>
    <w:rPr>
      <w:rFonts w:eastAsia="仿宋_GB2312" w:asciiTheme="minorAscii" w:hAnsiTheme="minorAscii"/>
      <w:sz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footer"/>
    <w:basedOn w:val="1"/>
    <w:next w:val="3"/>
    <w:autoRedefine/>
    <w:qFormat/>
    <w:uiPriority w:val="0"/>
    <w:pPr>
      <w:tabs>
        <w:tab w:val="center" w:pos="4153"/>
        <w:tab w:val="right" w:pos="8306"/>
      </w:tabs>
      <w:snapToGrid w:val="0"/>
      <w:jc w:val="left"/>
    </w:pPr>
    <w:rPr>
      <w:kern w:val="0"/>
      <w:sz w:val="18"/>
      <w:szCs w:val="18"/>
    </w:rPr>
  </w:style>
  <w:style w:type="paragraph" w:styleId="3">
    <w:name w:val="index 5"/>
    <w:basedOn w:val="1"/>
    <w:next w:val="1"/>
    <w:qFormat/>
    <w:uiPriority w:val="0"/>
    <w:pPr>
      <w:ind w:left="1680"/>
    </w:p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page number"/>
    <w:autoRedefine/>
    <w:qFormat/>
    <w:uiPriority w:val="0"/>
  </w:style>
  <w:style w:type="paragraph" w:customStyle="1" w:styleId="11">
    <w:name w:val="BodyText1I2"/>
    <w:basedOn w:val="12"/>
    <w:autoRedefine/>
    <w:qFormat/>
    <w:uiPriority w:val="0"/>
    <w:pPr>
      <w:spacing w:before="100" w:beforeAutospacing="1" w:after="0"/>
      <w:ind w:left="0" w:firstLine="420" w:firstLineChars="200"/>
    </w:pPr>
    <w:rPr>
      <w:rFonts w:ascii="Calibri" w:hAnsi="Calibri"/>
    </w:rPr>
  </w:style>
  <w:style w:type="paragraph" w:customStyle="1" w:styleId="12">
    <w:name w:val="BodyTextIndent"/>
    <w:basedOn w:val="1"/>
    <w:autoRedefine/>
    <w:qFormat/>
    <w:uiPriority w:val="0"/>
    <w:pPr>
      <w:spacing w:after="120"/>
      <w:ind w:left="420" w:leftChars="200"/>
    </w:pPr>
  </w:style>
  <w:style w:type="paragraph" w:customStyle="1" w:styleId="13">
    <w:name w:val="BodyText1I"/>
    <w:basedOn w:val="1"/>
    <w:autoRedefine/>
    <w:qFormat/>
    <w:uiPriority w:val="99"/>
    <w:pPr>
      <w:snapToGrid w:val="0"/>
      <w:spacing w:line="360" w:lineRule="auto"/>
      <w:ind w:firstLine="420" w:firstLineChars="100"/>
    </w:pPr>
    <w:rPr>
      <w:sz w:val="28"/>
      <w:szCs w:val="20"/>
    </w:rPr>
  </w:style>
  <w:style w:type="paragraph" w:customStyle="1" w:styleId="14">
    <w:name w:val="标题1"/>
    <w:basedOn w:val="5"/>
    <w:autoRedefine/>
    <w:qFormat/>
    <w:uiPriority w:val="0"/>
    <w:rPr>
      <w:rFonts w:eastAsia="黑体"/>
    </w:rPr>
  </w:style>
  <w:style w:type="paragraph" w:customStyle="1" w:styleId="15">
    <w:name w:val="List Paragraph_a0f507d5-6e28-4914-b37f-020b7d2b0f7c"/>
    <w:basedOn w:val="1"/>
    <w:autoRedefine/>
    <w:qFormat/>
    <w:uiPriority w:val="0"/>
    <w:pPr>
      <w:ind w:firstLine="420" w:firstLineChars="200"/>
    </w:pPr>
  </w:style>
  <w:style w:type="paragraph" w:customStyle="1" w:styleId="16">
    <w:name w:val="Table Text"/>
    <w:basedOn w:val="1"/>
    <w:semiHidden/>
    <w:qFormat/>
    <w:uiPriority w:val="0"/>
    <w:rPr>
      <w:rFonts w:ascii="宋体" w:hAnsi="宋体" w:eastAsia="宋体" w:cs="宋体"/>
      <w:sz w:val="20"/>
      <w:szCs w:val="20"/>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4149</Words>
  <Characters>4471</Characters>
  <Lines>1</Lines>
  <Paragraphs>1</Paragraphs>
  <TotalTime>1</TotalTime>
  <ScaleCrop>false</ScaleCrop>
  <LinksUpToDate>false</LinksUpToDate>
  <CharactersWithSpaces>4897</CharactersWithSpaces>
  <Application>WPS Office_12.1.0.21911_F1E327BC-269C-435d-A152-05C5408002CA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2024-05-20T07:10:00Z</dcterms:created>
  <dc:creator>HNBS-WORKER3</dc:creator>
  <cp:lastModifiedBy>XIE</cp:lastModifiedBy>
  <dcterms:modified xsi:type="dcterms:W3CDTF">2025-07-04T05:44:23Z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ICV">
    <vt:lpwstr>472F0DB70FAF40BABD83E5674BC215FC_13</vt:lpwstr>
  </property>
  <property fmtid="{D5CDD505-2E9C-101B-9397-08002B2CF9AE}" pid="4" name="KSOTemplateDocerSaveRecord">
    <vt:lpwstr>eyJoZGlkIjoiODdmMjMwZDBjZDIzNmYzMjVlZWYwYjYxYjQyNjJhMmYiLCJ1c2VySWQiOiIxMTU1MzM3MzE4In0=</vt:lpwstr>
  </property>
</Properties>
</file>