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D78D3">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5C338A77">
      <w:pPr>
        <w:keepNext w:val="0"/>
        <w:keepLines w:val="0"/>
        <w:pageBreakBefore w:val="0"/>
        <w:widowControl w:val="0"/>
        <w:kinsoku/>
        <w:wordWrap/>
        <w:overflowPunct/>
        <w:topLinePunct w:val="0"/>
        <w:autoSpaceDE/>
        <w:autoSpaceDN/>
        <w:bidi w:val="0"/>
        <w:adjustRightInd/>
        <w:snapToGrid w:val="0"/>
        <w:spacing w:before="469" w:beforeLines="150" w:line="580" w:lineRule="exact"/>
        <w:ind w:firstLine="4819" w:firstLineChars="1600"/>
        <w:textAlignment w:val="auto"/>
        <w:rPr>
          <w:rFonts w:hint="eastAsia" w:ascii="楷体_GB2312" w:hAnsi="仿宋" w:eastAsia="楷体_GB2312" w:cs="Times New Roman"/>
          <w:b/>
          <w:sz w:val="30"/>
          <w:szCs w:val="30"/>
        </w:rPr>
      </w:pPr>
      <w:r>
        <w:rPr>
          <w:rFonts w:hint="eastAsia" w:ascii="楷体_GB2312" w:hAnsi="仿宋" w:eastAsia="楷体_GB2312"/>
          <w:b/>
          <w:sz w:val="30"/>
          <w:szCs w:val="30"/>
        </w:rPr>
        <w:t xml:space="preserve"> </w:t>
      </w:r>
      <w:r>
        <w:rPr>
          <w:rFonts w:hint="eastAsia" w:ascii="楷体_GB2312" w:hAnsi="仿宋" w:eastAsia="楷体_GB2312"/>
          <w:b/>
          <w:sz w:val="30"/>
          <w:szCs w:val="30"/>
          <w:lang w:val="en-US" w:eastAsia="zh-CN"/>
        </w:rPr>
        <w:t xml:space="preserve">   </w:t>
      </w:r>
      <w:r>
        <w:rPr>
          <w:rFonts w:hint="eastAsia" w:ascii="楷体_GB2312" w:hAnsi="仿宋" w:eastAsia="楷体_GB2312"/>
          <w:b/>
          <w:sz w:val="30"/>
          <w:szCs w:val="30"/>
        </w:rPr>
        <w:t>岳</w:t>
      </w:r>
      <w:r>
        <w:rPr>
          <w:rFonts w:hint="eastAsia" w:ascii="楷体_GB2312" w:hAnsi="仿宋" w:eastAsia="楷体_GB2312"/>
          <w:b/>
          <w:sz w:val="30"/>
          <w:szCs w:val="30"/>
          <w:lang w:val="en-US" w:eastAsia="zh-CN"/>
        </w:rPr>
        <w:t>云</w:t>
      </w:r>
      <w:r>
        <w:rPr>
          <w:rFonts w:hint="eastAsia" w:ascii="楷体_GB2312" w:hAnsi="仿宋" w:eastAsia="楷体_GB2312"/>
          <w:b/>
          <w:sz w:val="30"/>
          <w:szCs w:val="30"/>
        </w:rPr>
        <w:t>环评〔202</w:t>
      </w:r>
      <w:r>
        <w:rPr>
          <w:rFonts w:hint="eastAsia" w:ascii="楷体_GB2312" w:hAnsi="仿宋" w:eastAsia="楷体_GB2312"/>
          <w:b/>
          <w:sz w:val="30"/>
          <w:szCs w:val="30"/>
          <w:lang w:val="en-US" w:eastAsia="zh-CN"/>
        </w:rPr>
        <w:t>5</w:t>
      </w:r>
      <w:r>
        <w:rPr>
          <w:rFonts w:hint="eastAsia" w:ascii="楷体_GB2312" w:hAnsi="仿宋" w:eastAsia="楷体_GB2312"/>
          <w:b/>
          <w:sz w:val="30"/>
          <w:szCs w:val="30"/>
        </w:rPr>
        <w:t>〕</w:t>
      </w:r>
      <w:r>
        <w:rPr>
          <w:rFonts w:hint="eastAsia" w:ascii="楷体_GB2312" w:hAnsi="仿宋" w:eastAsia="楷体_GB2312"/>
          <w:b/>
          <w:sz w:val="30"/>
          <w:szCs w:val="30"/>
          <w:lang w:val="en-US" w:eastAsia="zh-CN"/>
        </w:rPr>
        <w:t>16</w:t>
      </w:r>
      <w:r>
        <w:rPr>
          <w:rFonts w:hint="eastAsia" w:ascii="楷体_GB2312" w:hAnsi="仿宋" w:eastAsia="楷体_GB2312" w:cs="Times New Roman"/>
          <w:b/>
          <w:sz w:val="30"/>
          <w:szCs w:val="30"/>
        </w:rPr>
        <w:t>号</w:t>
      </w:r>
    </w:p>
    <w:p w14:paraId="0EFC9943">
      <w:pPr>
        <w:pStyle w:val="6"/>
        <w:spacing w:before="0" w:after="156" w:afterLines="50" w:line="580" w:lineRule="exact"/>
        <w:jc w:val="center"/>
        <w:rPr>
          <w:rFonts w:hint="eastAsia" w:ascii="方正小标宋简体" w:hAnsi="方正小标宋简体" w:eastAsia="方正小标宋简体" w:cs="方正小标宋简体"/>
          <w:b w:val="0"/>
          <w:bCs/>
          <w:spacing w:val="-11"/>
        </w:rPr>
      </w:pPr>
      <w:r>
        <w:rPr>
          <w:rFonts w:hint="eastAsia" w:ascii="方正小标宋简体" w:hAnsi="方正小标宋简体" w:eastAsia="方正小标宋简体" w:cs="方正小标宋简体"/>
          <w:b w:val="0"/>
          <w:bCs/>
          <w:spacing w:val="-11"/>
        </w:rPr>
        <w:t>关于</w:t>
      </w:r>
      <w:r>
        <w:rPr>
          <w:rFonts w:hint="eastAsia" w:ascii="方正小标宋简体" w:hAnsi="方正小标宋简体" w:eastAsia="方正小标宋简体" w:cs="方正小标宋简体"/>
          <w:b w:val="0"/>
          <w:bCs/>
          <w:spacing w:val="-11"/>
          <w:lang w:val="en-US" w:eastAsia="zh-CN"/>
        </w:rPr>
        <w:t>湖南润岳检测技术有限公司环境检测实验室项目</w:t>
      </w:r>
      <w:r>
        <w:rPr>
          <w:rFonts w:hint="eastAsia" w:ascii="方正小标宋简体" w:hAnsi="方正小标宋简体" w:eastAsia="方正小标宋简体" w:cs="方正小标宋简体"/>
          <w:b w:val="0"/>
          <w:bCs/>
          <w:spacing w:val="-11"/>
        </w:rPr>
        <w:t>环境影响报告表的批复</w:t>
      </w:r>
    </w:p>
    <w:p w14:paraId="7698278C">
      <w:pPr>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湖南润岳检测技术有限公司</w:t>
      </w:r>
      <w:r>
        <w:rPr>
          <w:rFonts w:hint="eastAsia" w:ascii="仿宋_GB2312" w:hAnsi="仿宋_GB2312" w:eastAsia="仿宋_GB2312" w:cs="仿宋_GB2312"/>
          <w:sz w:val="32"/>
          <w:szCs w:val="32"/>
        </w:rPr>
        <w:t>：</w:t>
      </w:r>
    </w:p>
    <w:p w14:paraId="53862F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湖南润岳检测技术有限公司环境检测实验室项目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p>
    <w:p w14:paraId="69AFCCB5">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kern w:val="2"/>
          <w:sz w:val="32"/>
          <w:szCs w:val="32"/>
          <w:lang w:val="en-US" w:eastAsia="zh-CN"/>
        </w:rPr>
        <w:t>湖南润岳检测技术有限公司环境检测实验室项目位于</w:t>
      </w:r>
      <w:r>
        <w:rPr>
          <w:rFonts w:hint="eastAsia" w:ascii="仿宋_GB2312" w:hAnsi="仿宋_GB2312" w:eastAsia="仿宋_GB2312" w:cs="仿宋_GB2312"/>
          <w:color w:val="auto"/>
          <w:kern w:val="2"/>
          <w:sz w:val="32"/>
          <w:szCs w:val="32"/>
          <w:lang w:eastAsia="zh-CN"/>
        </w:rPr>
        <w:t>湖南省岳阳市云溪区云溪街道湖南岳阳绿色化工高新技术产业开发区凤翔路科创中心办公楼2栋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lang w:eastAsia="zh-CN"/>
        </w:rPr>
        <w:t>万元，其中环保投资</w:t>
      </w:r>
      <w:r>
        <w:rPr>
          <w:rFonts w:hint="eastAsia" w:ascii="仿宋_GB2312" w:hAnsi="仿宋_GB2312" w:eastAsia="仿宋_GB2312" w:cs="仿宋_GB2312"/>
          <w:sz w:val="32"/>
          <w:szCs w:val="32"/>
          <w:lang w:val="en-US" w:eastAsia="zh-CN"/>
        </w:rPr>
        <w:t>38.5</w:t>
      </w:r>
      <w:r>
        <w:rPr>
          <w:rFonts w:hint="eastAsia" w:ascii="仿宋_GB2312" w:hAnsi="仿宋_GB2312" w:eastAsia="仿宋_GB2312" w:cs="仿宋_GB2312"/>
          <w:sz w:val="32"/>
          <w:szCs w:val="32"/>
          <w:lang w:eastAsia="zh-CN"/>
        </w:rPr>
        <w:t>万元，占总投资的</w:t>
      </w:r>
      <w:r>
        <w:rPr>
          <w:rFonts w:hint="eastAsia" w:ascii="仿宋_GB2312" w:hAnsi="仿宋_GB2312" w:eastAsia="仿宋_GB2312" w:cs="仿宋_GB2312"/>
          <w:sz w:val="32"/>
          <w:szCs w:val="32"/>
          <w:lang w:val="en-US" w:eastAsia="zh-CN"/>
        </w:rPr>
        <w:t>4.81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项目主要建设内容为</w:t>
      </w:r>
      <w:r>
        <w:rPr>
          <w:rFonts w:hint="default"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lang w:val="en-US" w:eastAsia="zh-CN"/>
        </w:rPr>
        <w:t>湖南岳阳绿色化工高新技术产业开发区凤翔路科创中心办公楼2栋</w:t>
      </w:r>
      <w:r>
        <w:rPr>
          <w:rFonts w:hint="default" w:ascii="仿宋_GB2312" w:hAnsi="仿宋_GB2312" w:eastAsia="仿宋_GB2312" w:cs="仿宋_GB2312"/>
          <w:sz w:val="32"/>
          <w:szCs w:val="32"/>
          <w:lang w:val="en-US" w:eastAsia="zh-CN"/>
        </w:rPr>
        <w:t>部分厂房建设环境检测实验室</w:t>
      </w:r>
      <w:r>
        <w:rPr>
          <w:rFonts w:hint="eastAsia" w:ascii="仿宋_GB2312" w:hAnsi="仿宋_GB2312" w:eastAsia="仿宋_GB2312" w:cs="仿宋_GB2312"/>
          <w:sz w:val="32"/>
          <w:szCs w:val="32"/>
          <w:lang w:val="en-US" w:eastAsia="zh-CN"/>
        </w:rPr>
        <w:t>，并配套相应的公共工程及环保设施。项目建成后主要提供气体类、水类、声环境类、土壤、固废、底质、沉积物、污泥类等的环境检测服务。项目年检测分析约50000个样品，具体数量随市场需求有所变化。</w:t>
      </w:r>
    </w:p>
    <w:p w14:paraId="331132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w:t>
      </w:r>
      <w:r>
        <w:rPr>
          <w:rFonts w:hint="eastAsia" w:ascii="仿宋_GB2312" w:hAnsi="仿宋_GB2312" w:eastAsia="仿宋_GB2312" w:cs="仿宋_GB2312"/>
          <w:color w:val="auto"/>
          <w:kern w:val="2"/>
          <w:sz w:val="32"/>
          <w:szCs w:val="32"/>
          <w:lang w:eastAsia="zh-CN"/>
        </w:rPr>
        <w:t>湖南顺洄环保科技有限公司</w:t>
      </w:r>
      <w:r>
        <w:rPr>
          <w:rFonts w:hint="eastAsia" w:ascii="仿宋_GB2312" w:hAnsi="仿宋_GB2312" w:eastAsia="仿宋_GB2312" w:cs="仿宋_GB2312"/>
          <w:color w:val="auto"/>
          <w:kern w:val="2"/>
          <w:sz w:val="32"/>
          <w:szCs w:val="32"/>
        </w:rPr>
        <w:t>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二、项目在施工及营运期间须全面落实专家及环境影响报告表中提出的各项污染物防治措施，切实加强环境管理，确保污防设施长期稳定运行、污染物达标排放，并着重做好以下几点工作。</w:t>
      </w:r>
    </w:p>
    <w:p w14:paraId="1A5C0F06">
      <w:pPr>
        <w:pStyle w:val="2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rPr>
        <w:t>严格控制项目废气污染，规范建设各废气集排气系统和处理设施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加强日常监管，规范</w:t>
      </w:r>
      <w:r>
        <w:rPr>
          <w:rFonts w:hint="eastAsia" w:ascii="仿宋_GB2312" w:hAnsi="仿宋_GB2312" w:eastAsia="仿宋_GB2312" w:cs="仿宋_GB2312"/>
          <w:sz w:val="32"/>
          <w:szCs w:val="32"/>
          <w:lang w:val="en-US" w:eastAsia="zh-CN"/>
        </w:rPr>
        <w:t>实验</w:t>
      </w:r>
      <w:r>
        <w:rPr>
          <w:rFonts w:hint="eastAsia" w:ascii="仿宋_GB2312" w:hAnsi="仿宋_GB2312" w:eastAsia="仿宋_GB2312" w:cs="仿宋_GB2312"/>
          <w:sz w:val="32"/>
          <w:szCs w:val="32"/>
        </w:rPr>
        <w:t>操作，</w:t>
      </w:r>
      <w:r>
        <w:rPr>
          <w:rFonts w:hint="eastAsia" w:ascii="仿宋_GB2312" w:hAnsi="仿宋_GB2312" w:eastAsia="仿宋_GB2312" w:cs="仿宋_GB2312"/>
          <w:sz w:val="32"/>
          <w:szCs w:val="32"/>
          <w:lang w:val="en-US" w:eastAsia="zh-CN"/>
        </w:rPr>
        <w:t>实验</w:t>
      </w:r>
      <w:r>
        <w:rPr>
          <w:rFonts w:hint="eastAsia" w:ascii="仿宋_GB2312" w:hAnsi="仿宋_GB2312" w:eastAsia="仿宋_GB2312" w:cs="仿宋_GB2312"/>
          <w:sz w:val="32"/>
          <w:szCs w:val="32"/>
        </w:rPr>
        <w:t>取样、</w:t>
      </w:r>
      <w:r>
        <w:rPr>
          <w:rFonts w:hint="eastAsia" w:ascii="仿宋_GB2312" w:hAnsi="仿宋_GB2312" w:eastAsia="仿宋_GB2312" w:cs="仿宋_GB2312"/>
          <w:sz w:val="32"/>
          <w:szCs w:val="32"/>
          <w:lang w:val="en-US" w:eastAsia="zh-CN"/>
        </w:rPr>
        <w:t>萃取、浓缩、</w:t>
      </w:r>
      <w:r>
        <w:rPr>
          <w:rFonts w:hint="eastAsia" w:ascii="仿宋_GB2312" w:hAnsi="仿宋_GB2312" w:eastAsia="仿宋_GB2312" w:cs="仿宋_GB2312"/>
          <w:sz w:val="32"/>
          <w:szCs w:val="32"/>
        </w:rPr>
        <w:t>样品配置及消解</w:t>
      </w:r>
      <w:r>
        <w:rPr>
          <w:rFonts w:hint="eastAsia" w:ascii="仿宋_GB2312" w:hAnsi="仿宋_GB2312" w:eastAsia="仿宋_GB2312" w:cs="仿宋_GB2312"/>
          <w:sz w:val="32"/>
          <w:szCs w:val="32"/>
          <w:lang w:val="en-US" w:eastAsia="zh-CN"/>
        </w:rPr>
        <w:t>等前处理</w:t>
      </w:r>
      <w:r>
        <w:rPr>
          <w:rFonts w:hint="eastAsia" w:ascii="仿宋_GB2312" w:hAnsi="仿宋_GB2312" w:eastAsia="仿宋_GB2312" w:cs="仿宋_GB2312"/>
          <w:sz w:val="32"/>
          <w:szCs w:val="32"/>
        </w:rPr>
        <w:t>过程均</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在通风橱内进行</w:t>
      </w:r>
      <w:r>
        <w:rPr>
          <w:rFonts w:hint="eastAsia" w:ascii="仿宋_GB2312" w:hAnsi="仿宋_GB2312" w:eastAsia="仿宋_GB2312" w:cs="仿宋_GB2312"/>
          <w:sz w:val="32"/>
          <w:szCs w:val="32"/>
          <w:lang w:val="en-US" w:eastAsia="zh-CN"/>
        </w:rPr>
        <w:t>操作</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highlight w:val="none"/>
        </w:rPr>
        <w:t>有效措施提高废气收集率，定期对</w:t>
      </w:r>
      <w:r>
        <w:rPr>
          <w:rFonts w:hint="eastAsia" w:ascii="仿宋_GB2312" w:hAnsi="仿宋_GB2312" w:eastAsia="仿宋_GB2312" w:cs="仿宋_GB2312"/>
          <w:sz w:val="32"/>
          <w:szCs w:val="32"/>
          <w:highlight w:val="none"/>
          <w:lang w:val="en-US" w:eastAsia="zh-CN"/>
        </w:rPr>
        <w:t>通风橱、集气罩</w:t>
      </w:r>
      <w:r>
        <w:rPr>
          <w:rFonts w:hint="eastAsia" w:ascii="仿宋_GB2312" w:hAnsi="仿宋_GB2312" w:eastAsia="仿宋_GB2312" w:cs="仿宋_GB2312"/>
          <w:sz w:val="32"/>
          <w:szCs w:val="32"/>
          <w:highlight w:val="none"/>
        </w:rPr>
        <w:t>设备、</w:t>
      </w:r>
      <w:r>
        <w:rPr>
          <w:rFonts w:hint="eastAsia" w:ascii="仿宋_GB2312" w:hAnsi="仿宋_GB2312" w:eastAsia="仿宋_GB2312" w:cs="仿宋_GB2312"/>
          <w:sz w:val="32"/>
          <w:szCs w:val="32"/>
          <w:highlight w:val="none"/>
          <w:lang w:val="en-US" w:eastAsia="zh-CN"/>
        </w:rPr>
        <w:t>废气</w:t>
      </w:r>
      <w:r>
        <w:rPr>
          <w:rFonts w:hint="eastAsia" w:ascii="仿宋_GB2312" w:hAnsi="仿宋_GB2312" w:eastAsia="仿宋_GB2312" w:cs="仿宋_GB2312"/>
          <w:sz w:val="32"/>
          <w:szCs w:val="32"/>
          <w:highlight w:val="none"/>
        </w:rPr>
        <w:t>管路管线、机泵等设施进行巡检和维护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防止跑冒滴漏，最大限度减少</w:t>
      </w:r>
      <w:r>
        <w:rPr>
          <w:rFonts w:hint="eastAsia" w:ascii="仿宋_GB2312" w:hAnsi="仿宋_GB2312" w:eastAsia="仿宋_GB2312" w:cs="仿宋_GB2312"/>
          <w:sz w:val="32"/>
          <w:szCs w:val="32"/>
          <w:highlight w:val="none"/>
          <w:lang w:val="en-US" w:eastAsia="zh-CN"/>
        </w:rPr>
        <w:t>实验</w:t>
      </w:r>
      <w:r>
        <w:rPr>
          <w:rFonts w:hint="eastAsia" w:ascii="仿宋_GB2312" w:hAnsi="仿宋_GB2312" w:eastAsia="仿宋_GB2312" w:cs="仿宋_GB2312"/>
          <w:sz w:val="32"/>
          <w:szCs w:val="32"/>
          <w:highlight w:val="none"/>
        </w:rPr>
        <w:t>过程中的废气无组织排放。项目运营期产生的废气主要为</w:t>
      </w:r>
      <w:r>
        <w:rPr>
          <w:rFonts w:hint="eastAsia" w:ascii="仿宋_GB2312" w:hAnsi="仿宋_GB2312" w:eastAsia="仿宋_GB2312" w:cs="仿宋_GB2312"/>
          <w:sz w:val="32"/>
          <w:szCs w:val="32"/>
          <w:highlight w:val="none"/>
          <w:lang w:eastAsia="zh-CN"/>
        </w:rPr>
        <w:t>实验室酸性废气</w:t>
      </w:r>
      <w:r>
        <w:rPr>
          <w:rFonts w:hint="eastAsia" w:ascii="仿宋_GB2312" w:hAnsi="仿宋_GB2312" w:eastAsia="仿宋_GB2312" w:cs="仿宋_GB2312"/>
          <w:sz w:val="32"/>
          <w:szCs w:val="32"/>
          <w:highlight w:val="none"/>
          <w:lang w:val="en-US" w:eastAsia="zh-CN"/>
        </w:rPr>
        <w:t>和实验室有机废气</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项目实验室酸性废气通过通风橱、集气罩收集并经碱液喷淋塔处理后经15米高的DA001排气筒达标排放；实验室有机废气通过通风橱、集气罩收集并经活性炭吸附处理后经15米高的DA002排气筒达标排放。</w:t>
      </w:r>
      <w:r>
        <w:rPr>
          <w:rFonts w:hint="eastAsia" w:ascii="仿宋_GB2312" w:hAnsi="仿宋_GB2312" w:eastAsia="仿宋_GB2312" w:cs="仿宋_GB2312"/>
          <w:color w:val="auto"/>
          <w:kern w:val="2"/>
          <w:sz w:val="32"/>
          <w:szCs w:val="32"/>
          <w:highlight w:val="none"/>
          <w:lang w:val="en-US" w:eastAsia="zh-CN"/>
        </w:rPr>
        <w:t>项目</w:t>
      </w:r>
      <w:r>
        <w:rPr>
          <w:rFonts w:hint="eastAsia" w:ascii="仿宋_GB2312" w:hAnsi="仿宋_GB2312" w:eastAsia="仿宋_GB2312" w:cs="仿宋_GB2312"/>
          <w:sz w:val="32"/>
          <w:szCs w:val="32"/>
          <w:lang w:val="en-US" w:eastAsia="zh-CN"/>
        </w:rPr>
        <w:t>有组织废气中</w:t>
      </w:r>
      <w:r>
        <w:rPr>
          <w:rFonts w:hint="eastAsia" w:ascii="仿宋_GB2312" w:hAnsi="仿宋_GB2312" w:eastAsia="仿宋_GB2312" w:cs="仿宋_GB2312"/>
          <w:sz w:val="32"/>
          <w:szCs w:val="32"/>
          <w:highlight w:val="none"/>
          <w:lang w:val="en-US" w:eastAsia="zh-CN"/>
        </w:rPr>
        <w:t>DA001排气筒硫酸雾、氯化氢、</w:t>
      </w:r>
      <w:r>
        <w:rPr>
          <w:rFonts w:hint="default" w:ascii="仿宋_GB2312" w:hAnsi="仿宋_GB2312" w:eastAsia="仿宋_GB2312" w:cs="仿宋_GB2312"/>
          <w:sz w:val="32"/>
          <w:szCs w:val="32"/>
          <w:lang w:val="en-US" w:eastAsia="zh-CN"/>
        </w:rPr>
        <w:t>硝酸雾（以氮氧化物计）</w:t>
      </w:r>
      <w:r>
        <w:rPr>
          <w:rFonts w:hint="eastAsia" w:ascii="仿宋_GB2312" w:hAnsi="仿宋_GB2312" w:eastAsia="仿宋_GB2312" w:cs="仿宋_GB2312"/>
          <w:sz w:val="32"/>
          <w:szCs w:val="32"/>
          <w:lang w:val="en-US" w:eastAsia="zh-CN"/>
        </w:rPr>
        <w:t>执</w:t>
      </w:r>
      <w:r>
        <w:rPr>
          <w:rFonts w:hint="eastAsia" w:ascii="仿宋_GB2312" w:hAnsi="仿宋_GB2312" w:eastAsia="仿宋_GB2312" w:cs="仿宋_GB2312"/>
          <w:color w:val="auto"/>
          <w:kern w:val="2"/>
          <w:sz w:val="32"/>
          <w:szCs w:val="32"/>
          <w:highlight w:val="none"/>
          <w:lang w:val="en-US" w:eastAsia="zh-CN"/>
        </w:rPr>
        <w:t>行《大气污染物综合排放标准》（GB16297-1996）表2中二级排放标准限值要求；</w:t>
      </w:r>
      <w:r>
        <w:rPr>
          <w:rFonts w:hint="eastAsia" w:ascii="仿宋_GB2312" w:hAnsi="仿宋_GB2312" w:eastAsia="仿宋_GB2312" w:cs="仿宋_GB2312"/>
          <w:sz w:val="32"/>
          <w:szCs w:val="32"/>
          <w:highlight w:val="none"/>
          <w:lang w:val="en-US" w:eastAsia="zh-CN"/>
        </w:rPr>
        <w:t>DA002排气</w:t>
      </w:r>
      <w:r>
        <w:rPr>
          <w:rFonts w:hint="eastAsia" w:ascii="仿宋_GB2312" w:hAnsi="仿宋_GB2312" w:eastAsia="仿宋_GB2312" w:cs="仿宋_GB2312"/>
          <w:color w:val="auto"/>
          <w:kern w:val="2"/>
          <w:sz w:val="32"/>
          <w:szCs w:val="32"/>
          <w:highlight w:val="none"/>
          <w:lang w:val="en-US" w:eastAsia="zh-CN"/>
        </w:rPr>
        <w:t>筒</w:t>
      </w:r>
      <w:r>
        <w:rPr>
          <w:rFonts w:hint="default" w:ascii="仿宋_GB2312" w:hAnsi="仿宋_GB2312" w:eastAsia="仿宋_GB2312" w:cs="仿宋_GB2312"/>
          <w:color w:val="auto"/>
          <w:kern w:val="2"/>
          <w:sz w:val="32"/>
          <w:szCs w:val="32"/>
          <w:highlight w:val="none"/>
          <w:lang w:val="en-US" w:eastAsia="zh-CN"/>
        </w:rPr>
        <w:t>非甲烷总烃</w:t>
      </w:r>
      <w:r>
        <w:rPr>
          <w:rFonts w:hint="eastAsia" w:ascii="仿宋_GB2312" w:hAnsi="仿宋_GB2312" w:eastAsia="仿宋_GB2312" w:cs="仿宋_GB2312"/>
          <w:color w:val="auto"/>
          <w:kern w:val="2"/>
          <w:sz w:val="32"/>
          <w:szCs w:val="32"/>
          <w:highlight w:val="none"/>
          <w:lang w:val="en-US" w:eastAsia="zh-CN"/>
        </w:rPr>
        <w:t>执行《大气污染物综合排放标准》（GB16297-1996）表2中二级排放标准限值要求</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rPr>
        <w:t>臭气浓度排放执行《恶臭污染物排放标准》（GB14554-93）表2排放限值要求。</w:t>
      </w:r>
      <w:r>
        <w:rPr>
          <w:rFonts w:hint="eastAsia" w:ascii="仿宋_GB2312" w:hAnsi="仿宋_GB2312" w:eastAsia="仿宋_GB2312" w:cs="仿宋_GB2312"/>
          <w:color w:val="auto"/>
          <w:kern w:val="2"/>
          <w:sz w:val="32"/>
          <w:szCs w:val="32"/>
          <w:highlight w:val="none"/>
          <w:lang w:val="en-US" w:eastAsia="zh-CN" w:bidi="ar"/>
        </w:rPr>
        <w:t>厂界无组织</w:t>
      </w:r>
      <w:r>
        <w:rPr>
          <w:rFonts w:hint="eastAsia" w:ascii="仿宋_GB2312" w:hAnsi="仿宋_GB2312" w:eastAsia="仿宋_GB2312" w:cs="仿宋_GB2312"/>
          <w:color w:val="auto"/>
          <w:kern w:val="2"/>
          <w:sz w:val="32"/>
          <w:szCs w:val="32"/>
          <w:highlight w:val="none"/>
          <w:lang w:val="en-US" w:eastAsia="zh-CN"/>
        </w:rPr>
        <w:t>废气</w:t>
      </w:r>
      <w:r>
        <w:rPr>
          <w:rFonts w:hint="eastAsia" w:ascii="仿宋_GB2312" w:hAnsi="仿宋_GB2312" w:eastAsia="仿宋_GB2312" w:cs="仿宋_GB2312"/>
          <w:sz w:val="32"/>
          <w:szCs w:val="32"/>
          <w:highlight w:val="none"/>
          <w:lang w:val="en-US" w:eastAsia="zh-CN"/>
        </w:rPr>
        <w:t>硫酸雾、氯化氢、</w:t>
      </w:r>
      <w:r>
        <w:rPr>
          <w:rFonts w:hint="default" w:ascii="仿宋_GB2312" w:hAnsi="仿宋_GB2312" w:eastAsia="仿宋_GB2312" w:cs="仿宋_GB2312"/>
          <w:sz w:val="32"/>
          <w:szCs w:val="32"/>
          <w:lang w:val="en-US" w:eastAsia="zh-CN"/>
        </w:rPr>
        <w:t>硝酸雾（以氮氧化物计）</w:t>
      </w:r>
      <w:r>
        <w:rPr>
          <w:rFonts w:hint="eastAsia" w:ascii="仿宋_GB2312" w:hAnsi="仿宋_GB2312" w:eastAsia="仿宋_GB2312" w:cs="仿宋_GB2312"/>
          <w:sz w:val="32"/>
          <w:szCs w:val="32"/>
          <w:highlight w:val="none"/>
          <w:lang w:val="en-US" w:eastAsia="zh-CN"/>
        </w:rPr>
        <w:t>和非甲烷总烃</w:t>
      </w:r>
      <w:r>
        <w:rPr>
          <w:rFonts w:hint="eastAsia" w:ascii="仿宋_GB2312" w:hAnsi="仿宋_GB2312" w:eastAsia="仿宋_GB2312" w:cs="仿宋_GB2312"/>
          <w:color w:val="auto"/>
          <w:kern w:val="2"/>
          <w:sz w:val="32"/>
          <w:szCs w:val="32"/>
          <w:highlight w:val="none"/>
          <w:lang w:val="en-US" w:eastAsia="zh-CN"/>
        </w:rPr>
        <w:t>执</w:t>
      </w:r>
      <w:r>
        <w:rPr>
          <w:rFonts w:hint="eastAsia" w:ascii="仿宋_GB2312" w:hAnsi="仿宋_GB2312" w:eastAsia="仿宋_GB2312" w:cs="仿宋_GB2312"/>
          <w:color w:val="auto"/>
          <w:kern w:val="2"/>
          <w:sz w:val="32"/>
          <w:szCs w:val="32"/>
          <w:highlight w:val="none"/>
          <w:lang w:val="en-US" w:eastAsia="zh-CN" w:bidi="ar"/>
        </w:rPr>
        <w:t>行《大气污染物综合排放标准》（GB16297-1996）表2中无组织排放监控浓度限值，臭气浓度执行《恶臭污染物排放标准》（GB14554-93）表1新扩改建项目二级厂界标准值。厂区内无组织排放监控点非甲烷总烃执行《挥发性有机物无组织排放控制标准》（GB37822-2019）附录A表A.1排放浓度限值要求。</w:t>
      </w:r>
    </w:p>
    <w:p w14:paraId="0787CCC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.加强废水污染防治工作。</w:t>
      </w:r>
      <w:r>
        <w:rPr>
          <w:rFonts w:hint="eastAsia" w:ascii="仿宋_GB2312" w:hAnsi="仿宋_GB2312" w:eastAsia="仿宋_GB2312" w:cs="仿宋_GB2312"/>
          <w:color w:val="auto"/>
          <w:kern w:val="2"/>
          <w:sz w:val="32"/>
          <w:szCs w:val="32"/>
          <w:highlight w:val="none"/>
          <w:lang w:val="en-US" w:eastAsia="zh-CN"/>
        </w:rPr>
        <w:t>严格按照“雨污分流、清污分流、污污分流”的原则建设厂区雨污水管网。</w:t>
      </w:r>
      <w:r>
        <w:rPr>
          <w:rFonts w:hint="default" w:ascii="仿宋_GB2312" w:hAnsi="仿宋_GB2312" w:eastAsia="仿宋_GB2312" w:cs="仿宋_GB2312"/>
          <w:kern w:val="2"/>
          <w:sz w:val="32"/>
          <w:szCs w:val="32"/>
          <w:highlight w:val="none"/>
          <w:lang w:val="en-US" w:eastAsia="zh-CN" w:bidi="ar-SA"/>
        </w:rPr>
        <w:t>项目</w:t>
      </w:r>
      <w:r>
        <w:rPr>
          <w:rFonts w:hint="eastAsia" w:ascii="仿宋_GB2312" w:hAnsi="仿宋_GB2312" w:eastAsia="仿宋_GB2312" w:cs="仿宋_GB2312"/>
          <w:kern w:val="2"/>
          <w:sz w:val="32"/>
          <w:szCs w:val="32"/>
          <w:highlight w:val="none"/>
          <w:lang w:val="en-US" w:eastAsia="zh-CN" w:bidi="ar-SA"/>
        </w:rPr>
        <w:t>运行过程</w:t>
      </w:r>
      <w:r>
        <w:rPr>
          <w:rFonts w:hint="default" w:ascii="仿宋_GB2312" w:hAnsi="仿宋_GB2312" w:eastAsia="仿宋_GB2312" w:cs="仿宋_GB2312"/>
          <w:kern w:val="2"/>
          <w:sz w:val="32"/>
          <w:szCs w:val="32"/>
          <w:highlight w:val="none"/>
          <w:lang w:val="en-US" w:eastAsia="zh-CN" w:bidi="ar-SA"/>
        </w:rPr>
        <w:t>产生的废水</w:t>
      </w:r>
      <w:r>
        <w:rPr>
          <w:rFonts w:hint="eastAsia" w:ascii="仿宋_GB2312" w:hAnsi="仿宋_GB2312" w:eastAsia="仿宋_GB2312" w:cs="仿宋_GB2312"/>
          <w:kern w:val="2"/>
          <w:sz w:val="32"/>
          <w:szCs w:val="32"/>
          <w:highlight w:val="none"/>
          <w:lang w:val="en-US" w:eastAsia="zh-CN" w:bidi="ar-SA"/>
        </w:rPr>
        <w:t>主要为低浓度实验废水、地面拖洗废水、纯水制备尾水和生活污水等。项目低浓度实验废水经酸碱调节预处理后，与经化粪池预处理后的生活污水，以及地面拖洗废水、纯水制备浓水一起通过厂区废水总排口进入园区污水管网排入云溪污水处理厂进一步处理。项目外排废水满足《污水综合排放标准》（GB8978-1996）三级标准与云溪污水处理厂进水水质要求中的较严值。</w:t>
      </w:r>
    </w:p>
    <w:p w14:paraId="63B646FD">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w:t>
      </w:r>
      <w:r>
        <w:rPr>
          <w:rFonts w:hint="eastAsia" w:ascii="楷体_GB2312" w:hAnsi="楷体_GB2312" w:eastAsia="楷体_GB2312" w:cs="楷体_GB2312"/>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处置利用工作，并建立健全固体废物管理台账。项目产生的实验室配制废液、实验器材第一次清洗废水、废试剂空瓶、废实验器材、废化学试剂、含病原微生物器具、含重金属标样、危险废物样品、废气喷淋废液、废活性炭</w:t>
      </w:r>
      <w:r>
        <w:rPr>
          <w:rFonts w:hint="eastAsia" w:ascii="仿宋_GB2312" w:hAnsi="仿宋_GB2312" w:eastAsia="仿宋_GB2312" w:cs="仿宋_GB2312"/>
          <w:sz w:val="32"/>
          <w:szCs w:val="32"/>
          <w:highlight w:val="none"/>
        </w:rPr>
        <w:t>等危险废物</w:t>
      </w:r>
      <w:r>
        <w:rPr>
          <w:rFonts w:hint="eastAsia" w:ascii="仿宋_GB2312" w:hAnsi="仿宋_GB2312" w:eastAsia="仿宋_GB2312" w:cs="仿宋_GB2312"/>
          <w:sz w:val="32"/>
          <w:szCs w:val="32"/>
        </w:rPr>
        <w:t>严格按《危险废物贮存污染控制标准》（GB18597-2023）要求合规储存、建立健全管理</w:t>
      </w:r>
      <w:r>
        <w:rPr>
          <w:rFonts w:hint="eastAsia" w:ascii="仿宋_GB2312" w:hAnsi="仿宋_GB2312" w:eastAsia="仿宋_GB2312" w:cs="仿宋_GB2312"/>
          <w:sz w:val="32"/>
          <w:szCs w:val="32"/>
          <w:lang w:val="en-US" w:eastAsia="zh-CN"/>
        </w:rPr>
        <w:t>台帐</w:t>
      </w:r>
      <w:r>
        <w:rPr>
          <w:rFonts w:hint="eastAsia" w:ascii="仿宋_GB2312" w:hAnsi="仿宋_GB2312" w:eastAsia="仿宋_GB2312" w:cs="仿宋_GB2312"/>
          <w:sz w:val="32"/>
          <w:szCs w:val="32"/>
        </w:rPr>
        <w:t>，交由有资质单位安全处置，并执行转移联单制度</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rPr>
        <w:t>废滤芯、一般实验废物等</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lang w:val="en-US" w:eastAsia="zh-CN"/>
        </w:rPr>
        <w:t>工业</w:t>
      </w:r>
      <w:r>
        <w:rPr>
          <w:rFonts w:hint="eastAsia" w:ascii="仿宋_GB2312" w:hAnsi="仿宋_GB2312" w:eastAsia="仿宋_GB2312" w:cs="仿宋_GB2312"/>
          <w:color w:val="auto"/>
          <w:sz w:val="32"/>
          <w:szCs w:val="32"/>
          <w:lang w:eastAsia="zh-CN"/>
        </w:rPr>
        <w:t>固体废物</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sz w:val="32"/>
          <w:szCs w:val="32"/>
          <w:highlight w:val="none"/>
          <w:lang w:eastAsia="zh-CN"/>
        </w:rPr>
        <w:t>按《一般工业固体废物贮存和填埋污染控制标准》（GB18599-2020）安全贮存、</w:t>
      </w:r>
      <w:r>
        <w:rPr>
          <w:rFonts w:hint="eastAsia" w:ascii="仿宋_GB2312" w:hAnsi="仿宋_GB2312" w:eastAsia="仿宋_GB2312" w:cs="仿宋_GB2312"/>
          <w:sz w:val="32"/>
          <w:szCs w:val="32"/>
          <w:highlight w:val="none"/>
          <w:lang w:val="en-US" w:eastAsia="zh-CN"/>
        </w:rPr>
        <w:t>妥善处置。</w:t>
      </w:r>
      <w:r>
        <w:rPr>
          <w:rFonts w:hint="eastAsia" w:ascii="仿宋_GB2312" w:hAnsi="仿宋_GB2312" w:eastAsia="仿宋_GB2312" w:cs="仿宋_GB2312"/>
          <w:sz w:val="32"/>
          <w:szCs w:val="32"/>
          <w:highlight w:val="none"/>
          <w:lang w:eastAsia="zh-CN"/>
        </w:rPr>
        <w:t>生活垃圾集中收集后</w:t>
      </w:r>
      <w:r>
        <w:rPr>
          <w:rFonts w:hint="eastAsia" w:ascii="仿宋_GB2312" w:hAnsi="仿宋_GB2312" w:eastAsia="仿宋_GB2312" w:cs="仿宋_GB2312"/>
          <w:sz w:val="32"/>
          <w:szCs w:val="32"/>
          <w:highlight w:val="none"/>
        </w:rPr>
        <w:t>由环卫部门定期清运、合理处置</w:t>
      </w:r>
      <w:r>
        <w:rPr>
          <w:rFonts w:hint="eastAsia" w:ascii="仿宋_GB2312" w:hAnsi="仿宋_GB2312" w:eastAsia="仿宋_GB2312" w:cs="仿宋_GB2312"/>
          <w:sz w:val="32"/>
          <w:szCs w:val="32"/>
          <w:highlight w:val="none"/>
          <w:lang w:eastAsia="zh-CN"/>
        </w:rPr>
        <w:t>。</w:t>
      </w:r>
    </w:p>
    <w:p w14:paraId="5FDE1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.加强噪声污染防治工作。</w:t>
      </w:r>
      <w:r>
        <w:rPr>
          <w:rFonts w:hint="eastAsia" w:ascii="仿宋_GB2312" w:hAnsi="仿宋_GB2312" w:eastAsia="仿宋_GB2312" w:cs="仿宋_GB2312"/>
          <w:sz w:val="32"/>
          <w:szCs w:val="32"/>
        </w:rPr>
        <w:t>通过采用低噪声设备、合理布局，并采取隔声、</w:t>
      </w:r>
      <w:r>
        <w:rPr>
          <w:rFonts w:hint="eastAsia" w:ascii="仿宋_GB2312" w:hAnsi="仿宋_GB2312" w:eastAsia="仿宋_GB2312" w:cs="仿宋_GB2312"/>
          <w:kern w:val="2"/>
          <w:sz w:val="32"/>
          <w:szCs w:val="32"/>
          <w:lang w:val="en-US" w:eastAsia="zh-CN" w:bidi="ar-SA"/>
        </w:rPr>
        <w:t>减振</w:t>
      </w:r>
      <w:r>
        <w:rPr>
          <w:rFonts w:hint="eastAsia" w:ascii="仿宋_GB2312" w:hAnsi="仿宋_GB2312" w:eastAsia="仿宋_GB2312" w:cs="仿宋_GB2312"/>
          <w:sz w:val="32"/>
          <w:szCs w:val="32"/>
        </w:rPr>
        <w:t>等措施，确保厂界噪声达到《工业企业厂界环境噪声排放标准》(GB12348-2008)中的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14:paraId="533AC426">
      <w:pPr>
        <w:keepNext w:val="0"/>
        <w:keepLines w:val="0"/>
        <w:pageBreakBefore w:val="0"/>
        <w:kinsoku/>
        <w:wordWrap/>
        <w:overflowPunct/>
        <w:topLinePunct w:val="0"/>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.加强营运期风险防范。</w:t>
      </w:r>
      <w:r>
        <w:rPr>
          <w:rFonts w:hint="eastAsia" w:ascii="仿宋_GB2312" w:hAnsi="仿宋_GB2312" w:eastAsia="仿宋_GB2312" w:cs="仿宋_GB2312"/>
          <w:sz w:val="32"/>
          <w:szCs w:val="32"/>
        </w:rPr>
        <w:t>严格落实报告表提出的各项环境风险防范措施；按照《突发环境事件应急管理办法》</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突发环境事件应急预案，储备风险救助物资并组织演练，杜绝环境风险事故发生。</w:t>
      </w:r>
    </w:p>
    <w:p w14:paraId="0CAF9F0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.加强环境管理。</w:t>
      </w:r>
      <w:r>
        <w:rPr>
          <w:rFonts w:hint="eastAsia" w:ascii="仿宋_GB2312" w:hAnsi="仿宋_GB2312" w:eastAsia="仿宋_GB2312" w:cs="仿宋_GB2312"/>
          <w:sz w:val="32"/>
          <w:szCs w:val="32"/>
        </w:rPr>
        <w:t>建立健全污染防治设施运行管理台帐，设专门的环保机构及环保人员，确保各项污染防治设施的正常运行，各类污染物稳定达标排放。</w:t>
      </w:r>
    </w:p>
    <w:p w14:paraId="5D69610D">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7.本项目污染物排放总量控制指标为：</w:t>
      </w:r>
      <w:r>
        <w:rPr>
          <w:rFonts w:hint="eastAsia" w:ascii="仿宋_GB2312" w:hAnsi="仿宋_GB2312" w:eastAsia="仿宋_GB2312" w:cs="仿宋_GB2312"/>
          <w:kern w:val="2"/>
          <w:sz w:val="32"/>
          <w:szCs w:val="32"/>
          <w:highlight w:val="none"/>
          <w:lang w:val="en-US" w:eastAsia="zh-CN" w:bidi="ar-SA"/>
        </w:rPr>
        <w:t>COD：0.032t/a，氨氮：0.003t/a，NO</w:t>
      </w:r>
      <w:r>
        <w:rPr>
          <w:rFonts w:hint="eastAsia" w:ascii="Times New Roman" w:hAnsi="Times New Roman" w:cs="Times New Roman"/>
          <w:color w:val="auto"/>
          <w:u w:val="none"/>
          <w:lang w:val="en-US" w:eastAsia="zh-CN"/>
        </w:rPr>
        <w:t>x</w:t>
      </w:r>
      <w:r>
        <w:rPr>
          <w:rFonts w:hint="eastAsia" w:ascii="仿宋_GB2312" w:hAnsi="仿宋_GB2312" w:eastAsia="仿宋_GB2312" w:cs="仿宋_GB2312"/>
          <w:kern w:val="2"/>
          <w:sz w:val="32"/>
          <w:szCs w:val="32"/>
          <w:highlight w:val="none"/>
          <w:lang w:val="en-US" w:eastAsia="zh-CN" w:bidi="ar-SA"/>
        </w:rPr>
        <w:t>：0.0025t/a，VOCs：0.0077t/a。</w:t>
      </w:r>
    </w:p>
    <w:p w14:paraId="2DE51639">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三、你公司自收到本批复后，应在15个工作日内将批复及批准的环评报告</w:t>
      </w:r>
      <w:r>
        <w:rPr>
          <w:rFonts w:hint="eastAsia" w:ascii="仿宋_GB2312" w:hAnsi="仿宋_GB2312" w:eastAsia="仿宋_GB2312" w:cs="仿宋_GB2312"/>
          <w:sz w:val="32"/>
          <w:szCs w:val="32"/>
          <w:highlight w:val="none"/>
        </w:rPr>
        <w:t>文本送</w:t>
      </w:r>
      <w:r>
        <w:rPr>
          <w:rFonts w:hint="eastAsia" w:ascii="仿宋_GB2312" w:hAnsi="仿宋_GB2312" w:eastAsia="仿宋_GB2312" w:cs="仿宋_GB2312"/>
          <w:color w:val="auto"/>
          <w:kern w:val="2"/>
          <w:sz w:val="32"/>
          <w:szCs w:val="32"/>
          <w:highlight w:val="none"/>
          <w:lang w:val="en-US" w:eastAsia="zh-CN"/>
        </w:rPr>
        <w:fldChar w:fldCharType="begin"/>
      </w:r>
      <w:r>
        <w:rPr>
          <w:rFonts w:hint="eastAsia" w:ascii="仿宋_GB2312" w:hAnsi="仿宋_GB2312" w:eastAsia="仿宋_GB2312" w:cs="仿宋_GB2312"/>
          <w:color w:val="auto"/>
          <w:kern w:val="2"/>
          <w:sz w:val="32"/>
          <w:szCs w:val="32"/>
          <w:highlight w:val="none"/>
          <w:lang w:val="en-US" w:eastAsia="zh-CN"/>
        </w:rPr>
        <w:instrText xml:space="preserve"> HYPERLINK "javascript:viewHomeCompanyInfoView('343710152341339147')" </w:instrText>
      </w:r>
      <w:r>
        <w:rPr>
          <w:rFonts w:hint="eastAsia" w:ascii="仿宋_GB2312" w:hAnsi="仿宋_GB2312" w:eastAsia="仿宋_GB2312" w:cs="仿宋_GB2312"/>
          <w:color w:val="auto"/>
          <w:kern w:val="2"/>
          <w:sz w:val="32"/>
          <w:szCs w:val="32"/>
          <w:highlight w:val="none"/>
          <w:lang w:val="en-US" w:eastAsia="zh-CN"/>
        </w:rPr>
        <w:fldChar w:fldCharType="separate"/>
      </w:r>
      <w:r>
        <w:rPr>
          <w:rFonts w:hint="eastAsia" w:ascii="仿宋_GB2312" w:hAnsi="仿宋_GB2312" w:eastAsia="仿宋_GB2312" w:cs="仿宋_GB2312"/>
          <w:color w:val="auto"/>
          <w:kern w:val="2"/>
          <w:sz w:val="32"/>
          <w:szCs w:val="32"/>
          <w:highlight w:val="none"/>
          <w:lang w:val="en-US" w:eastAsia="zh-CN"/>
        </w:rPr>
        <w:t>湖南顺洄环保科技有限公司</w:t>
      </w:r>
      <w:r>
        <w:rPr>
          <w:rFonts w:hint="eastAsia" w:ascii="仿宋_GB2312" w:hAnsi="仿宋_GB2312" w:eastAsia="仿宋_GB2312" w:cs="仿宋_GB2312"/>
          <w:color w:val="auto"/>
          <w:kern w:val="2"/>
          <w:sz w:val="32"/>
          <w:szCs w:val="32"/>
          <w:highlight w:val="none"/>
          <w:lang w:val="en-US" w:eastAsia="zh-CN"/>
        </w:rPr>
        <w:fldChar w:fldCharType="end"/>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sz w:val="32"/>
          <w:szCs w:val="32"/>
          <w:highlight w:val="none"/>
        </w:rPr>
        <w:t xml:space="preserve"> </w:t>
      </w:r>
    </w:p>
    <w:p w14:paraId="567336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pacing w:val="0"/>
          <w:position w:val="0"/>
          <w:sz w:val="32"/>
          <w:szCs w:val="32"/>
        </w:rPr>
        <w:t>岳阳市生态环境保护综合行政执法支队云溪大队</w:t>
      </w:r>
      <w:r>
        <w:rPr>
          <w:rFonts w:hint="eastAsia" w:ascii="仿宋_GB2312" w:hAnsi="仿宋_GB2312" w:eastAsia="仿宋_GB2312" w:cs="仿宋_GB2312"/>
          <w:sz w:val="32"/>
          <w:szCs w:val="32"/>
        </w:rPr>
        <w:t>负责该项目的日常环境监管。</w:t>
      </w:r>
    </w:p>
    <w:p w14:paraId="0A6084DD">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你公司如对本批复不服，可以在接到决定书之日起六十日内向岳阳市人民政府申请行政复议；或者六个月内向君山区人民法院依法提起行政诉讼。</w:t>
      </w:r>
    </w:p>
    <w:p w14:paraId="414B08CE">
      <w:pPr>
        <w:pStyle w:val="10"/>
        <w:keepNext w:val="0"/>
        <w:keepLines w:val="0"/>
        <w:pageBreakBefore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14:paraId="1ED7006A">
      <w:pPr>
        <w:keepNext w:val="0"/>
        <w:keepLines w:val="0"/>
        <w:pageBreakBefore w:val="0"/>
        <w:kinsoku/>
        <w:wordWrap/>
        <w:overflowPunct/>
        <w:topLinePunct w:val="0"/>
        <w:autoSpaceDE/>
        <w:autoSpaceDN/>
        <w:bidi w:val="0"/>
        <w:adjustRightInd/>
        <w:snapToGrid/>
        <w:spacing w:line="560" w:lineRule="exact"/>
      </w:pPr>
    </w:p>
    <w:p w14:paraId="4FA1BCA0">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rPr>
          <w:rFonts w:ascii="仿宋_GB2312" w:hAnsi="仿宋_GB2312" w:eastAsia="仿宋_GB2312" w:cs="仿宋_GB2312"/>
          <w:kern w:val="2"/>
          <w:sz w:val="32"/>
          <w:szCs w:val="32"/>
        </w:rPr>
      </w:pPr>
    </w:p>
    <w:p w14:paraId="103F13A4">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岳阳市生态环境局</w:t>
      </w:r>
    </w:p>
    <w:p w14:paraId="4C385EC6">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rPr>
          <w:rFonts w:hint="eastAsia"/>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16</w:t>
      </w:r>
      <w:bookmarkStart w:id="0" w:name="_GoBack"/>
      <w:bookmarkEnd w:id="0"/>
      <w:r>
        <w:rPr>
          <w:rFonts w:hint="eastAsia" w:ascii="仿宋_GB2312" w:hAnsi="仿宋_GB2312" w:eastAsia="仿宋_GB2312" w:cs="仿宋_GB2312"/>
          <w:kern w:val="2"/>
          <w:sz w:val="32"/>
          <w:szCs w:val="32"/>
        </w:rPr>
        <w:t>日</w:t>
      </w: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GFmNDhjOGNlNzhhMmI3ZmU3NzRiNTFiYzRlMGYifQ=="/>
  </w:docVars>
  <w:rsids>
    <w:rsidRoot w:val="00E73009"/>
    <w:rsid w:val="00015E82"/>
    <w:rsid w:val="00213024"/>
    <w:rsid w:val="00417091"/>
    <w:rsid w:val="0047227D"/>
    <w:rsid w:val="00881383"/>
    <w:rsid w:val="00E371FE"/>
    <w:rsid w:val="00E5779C"/>
    <w:rsid w:val="00E73009"/>
    <w:rsid w:val="01073C6F"/>
    <w:rsid w:val="01BB7833"/>
    <w:rsid w:val="024912E2"/>
    <w:rsid w:val="0270061D"/>
    <w:rsid w:val="029F047C"/>
    <w:rsid w:val="034328B9"/>
    <w:rsid w:val="036508C8"/>
    <w:rsid w:val="037759DB"/>
    <w:rsid w:val="04531FA4"/>
    <w:rsid w:val="053A4F12"/>
    <w:rsid w:val="05B9677F"/>
    <w:rsid w:val="05C03260"/>
    <w:rsid w:val="071D689A"/>
    <w:rsid w:val="07442078"/>
    <w:rsid w:val="080261BB"/>
    <w:rsid w:val="0861255B"/>
    <w:rsid w:val="08A90D2D"/>
    <w:rsid w:val="09BA2AC6"/>
    <w:rsid w:val="0A3E7241"/>
    <w:rsid w:val="0A856C30"/>
    <w:rsid w:val="0BD7795F"/>
    <w:rsid w:val="0CDD313D"/>
    <w:rsid w:val="0E323572"/>
    <w:rsid w:val="0F86458B"/>
    <w:rsid w:val="109450AB"/>
    <w:rsid w:val="13165211"/>
    <w:rsid w:val="13A72FED"/>
    <w:rsid w:val="14D0319D"/>
    <w:rsid w:val="1501139B"/>
    <w:rsid w:val="15431BC1"/>
    <w:rsid w:val="15731538"/>
    <w:rsid w:val="15F335E7"/>
    <w:rsid w:val="171417F2"/>
    <w:rsid w:val="18506ACF"/>
    <w:rsid w:val="1853036D"/>
    <w:rsid w:val="18644328"/>
    <w:rsid w:val="187D4DD4"/>
    <w:rsid w:val="1B2F5688"/>
    <w:rsid w:val="1BC33A5C"/>
    <w:rsid w:val="1BE834C2"/>
    <w:rsid w:val="1BF27E9D"/>
    <w:rsid w:val="1BFE2CE6"/>
    <w:rsid w:val="1C2564C4"/>
    <w:rsid w:val="1FB84F83"/>
    <w:rsid w:val="203E5DA7"/>
    <w:rsid w:val="20EE3329"/>
    <w:rsid w:val="21A808B0"/>
    <w:rsid w:val="21CB71C6"/>
    <w:rsid w:val="21F42BC1"/>
    <w:rsid w:val="24AC7783"/>
    <w:rsid w:val="25131844"/>
    <w:rsid w:val="2519649B"/>
    <w:rsid w:val="25315EDA"/>
    <w:rsid w:val="25757B75"/>
    <w:rsid w:val="29665F6E"/>
    <w:rsid w:val="2AD215C5"/>
    <w:rsid w:val="2B141BDE"/>
    <w:rsid w:val="2B381D70"/>
    <w:rsid w:val="2BFD5BA7"/>
    <w:rsid w:val="2C661D6C"/>
    <w:rsid w:val="2CA35285"/>
    <w:rsid w:val="2D0143E4"/>
    <w:rsid w:val="2DB80F46"/>
    <w:rsid w:val="2EF834BE"/>
    <w:rsid w:val="30444D13"/>
    <w:rsid w:val="31F34178"/>
    <w:rsid w:val="32D00AE0"/>
    <w:rsid w:val="33042538"/>
    <w:rsid w:val="333D7B32"/>
    <w:rsid w:val="34314BB7"/>
    <w:rsid w:val="34677222"/>
    <w:rsid w:val="36BF3346"/>
    <w:rsid w:val="38B31D07"/>
    <w:rsid w:val="3A0839DD"/>
    <w:rsid w:val="3D595B76"/>
    <w:rsid w:val="3E122BEC"/>
    <w:rsid w:val="3E926B16"/>
    <w:rsid w:val="3EDB2CE7"/>
    <w:rsid w:val="3F36616F"/>
    <w:rsid w:val="3F6820A1"/>
    <w:rsid w:val="417B255F"/>
    <w:rsid w:val="427B6115"/>
    <w:rsid w:val="43BD01BF"/>
    <w:rsid w:val="44F52628"/>
    <w:rsid w:val="49267254"/>
    <w:rsid w:val="4944592C"/>
    <w:rsid w:val="49CE3A4B"/>
    <w:rsid w:val="4A8E1972"/>
    <w:rsid w:val="4C0931BD"/>
    <w:rsid w:val="4C96649F"/>
    <w:rsid w:val="4D7E765F"/>
    <w:rsid w:val="4D8207D1"/>
    <w:rsid w:val="4DCE7F49"/>
    <w:rsid w:val="4DEA3B5D"/>
    <w:rsid w:val="4ED11A10"/>
    <w:rsid w:val="4EDE412D"/>
    <w:rsid w:val="4FAB2261"/>
    <w:rsid w:val="53514ABF"/>
    <w:rsid w:val="545C3BC3"/>
    <w:rsid w:val="54703A7A"/>
    <w:rsid w:val="548F2152"/>
    <w:rsid w:val="55920F27"/>
    <w:rsid w:val="57C24D16"/>
    <w:rsid w:val="58DC7930"/>
    <w:rsid w:val="58F00CE5"/>
    <w:rsid w:val="59965D30"/>
    <w:rsid w:val="5BDC37A3"/>
    <w:rsid w:val="5D40451D"/>
    <w:rsid w:val="5D445ACA"/>
    <w:rsid w:val="5D4F6922"/>
    <w:rsid w:val="5D6A0811"/>
    <w:rsid w:val="5F0B4ACB"/>
    <w:rsid w:val="605B793F"/>
    <w:rsid w:val="61C827FF"/>
    <w:rsid w:val="62233ED9"/>
    <w:rsid w:val="63A23524"/>
    <w:rsid w:val="643C5726"/>
    <w:rsid w:val="66522FDF"/>
    <w:rsid w:val="67EB425D"/>
    <w:rsid w:val="68B743EF"/>
    <w:rsid w:val="6AAE4DFC"/>
    <w:rsid w:val="6DAA54AF"/>
    <w:rsid w:val="707D334E"/>
    <w:rsid w:val="70BF4B91"/>
    <w:rsid w:val="718C35DE"/>
    <w:rsid w:val="71D4762D"/>
    <w:rsid w:val="71D56446"/>
    <w:rsid w:val="71DD5B63"/>
    <w:rsid w:val="71E536A2"/>
    <w:rsid w:val="72EF0DCC"/>
    <w:rsid w:val="73337CF4"/>
    <w:rsid w:val="73AA3251"/>
    <w:rsid w:val="73D47729"/>
    <w:rsid w:val="75CE1F56"/>
    <w:rsid w:val="779E42D6"/>
    <w:rsid w:val="77B63ECC"/>
    <w:rsid w:val="79890C31"/>
    <w:rsid w:val="7A01182B"/>
    <w:rsid w:val="7A102B3D"/>
    <w:rsid w:val="7AD32556"/>
    <w:rsid w:val="7B0B38A6"/>
    <w:rsid w:val="7BA07EF1"/>
    <w:rsid w:val="7BE81FC4"/>
    <w:rsid w:val="7BE97AEA"/>
    <w:rsid w:val="7C134B67"/>
    <w:rsid w:val="7CA851DE"/>
    <w:rsid w:val="7D4F7E21"/>
    <w:rsid w:val="7D8E0949"/>
    <w:rsid w:val="7DBA0EB2"/>
    <w:rsid w:val="7EBC7D7B"/>
    <w:rsid w:val="7EF936C5"/>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3"/>
    <w:basedOn w:val="1"/>
    <w:next w:val="1"/>
    <w:unhideWhenUsed/>
    <w:qFormat/>
    <w:uiPriority w:val="0"/>
    <w:pPr>
      <w:ind w:firstLine="0" w:firstLineChars="0"/>
      <w:outlineLvl w:val="2"/>
    </w:pPr>
    <w:rPr>
      <w:rFonts w:eastAsia="黑体"/>
      <w:bCs/>
      <w:snapToGrid/>
      <w:szCs w:val="32"/>
    </w:rPr>
  </w:style>
  <w:style w:type="paragraph" w:styleId="8">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beforeLines="50" w:line="360" w:lineRule="auto"/>
      <w:ind w:firstLine="200" w:firstLineChars="200"/>
    </w:pPr>
    <w:rPr>
      <w:sz w:val="24"/>
    </w:rPr>
  </w:style>
  <w:style w:type="paragraph" w:styleId="3">
    <w:name w:val="Body Text"/>
    <w:basedOn w:val="1"/>
    <w:next w:val="4"/>
    <w:qFormat/>
    <w:uiPriority w:val="0"/>
    <w:pPr>
      <w:spacing w:before="60" w:after="160" w:line="259" w:lineRule="auto"/>
      <w:ind w:right="113"/>
    </w:pPr>
    <w:rPr>
      <w:sz w:val="18"/>
      <w:szCs w:val="20"/>
    </w:rPr>
  </w:style>
  <w:style w:type="paragraph" w:customStyle="1" w:styleId="4">
    <w:name w:val="xl27"/>
    <w:basedOn w:val="5"/>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5">
    <w:name w:val="table of authorities"/>
    <w:basedOn w:val="1"/>
    <w:next w:val="1"/>
    <w:qFormat/>
    <w:uiPriority w:val="0"/>
    <w:pPr>
      <w:ind w:left="420" w:leftChars="200"/>
    </w:pPr>
  </w:style>
  <w:style w:type="paragraph" w:styleId="9">
    <w:name w:val="Body Text Indent"/>
    <w:basedOn w:val="1"/>
    <w:next w:val="10"/>
    <w:unhideWhenUsed/>
    <w:qFormat/>
    <w:uiPriority w:val="0"/>
    <w:pPr>
      <w:spacing w:after="120" w:line="276" w:lineRule="auto"/>
      <w:ind w:left="420" w:leftChars="200"/>
    </w:pPr>
    <w:rPr>
      <w:sz w:val="22"/>
    </w:rPr>
  </w:style>
  <w:style w:type="paragraph" w:styleId="10">
    <w:name w:val="Body Text First Indent 2"/>
    <w:basedOn w:val="9"/>
    <w:next w:val="1"/>
    <w:unhideWhenUsed/>
    <w:qFormat/>
    <w:uiPriority w:val="99"/>
    <w:pPr>
      <w:ind w:firstLine="420"/>
    </w:p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customStyle="1" w:styleId="16">
    <w:name w:val="S报告正文"/>
    <w:basedOn w:val="1"/>
    <w:qFormat/>
    <w:uiPriority w:val="0"/>
    <w:pPr>
      <w:adjustRightInd w:val="0"/>
      <w:snapToGrid w:val="0"/>
      <w:spacing w:line="480" w:lineRule="exact"/>
      <w:ind w:firstLine="510"/>
      <w:jc w:val="left"/>
    </w:pPr>
    <w:rPr>
      <w:sz w:val="24"/>
    </w:rPr>
  </w:style>
  <w:style w:type="paragraph" w:customStyle="1" w:styleId="17">
    <w:name w:val="+正文"/>
    <w:basedOn w:val="1"/>
    <w:qFormat/>
    <w:uiPriority w:val="39"/>
    <w:pPr>
      <w:spacing w:line="360" w:lineRule="auto"/>
      <w:ind w:firstLine="200" w:firstLineChars="200"/>
    </w:pPr>
    <w:rPr>
      <w:sz w:val="28"/>
      <w:szCs w:val="28"/>
    </w:rPr>
  </w:style>
  <w:style w:type="character" w:customStyle="1" w:styleId="18">
    <w:name w:val="C正文 字符"/>
    <w:link w:val="19"/>
    <w:qFormat/>
    <w:uiPriority w:val="0"/>
  </w:style>
  <w:style w:type="paragraph" w:customStyle="1" w:styleId="19">
    <w:name w:val="C正文"/>
    <w:basedOn w:val="1"/>
    <w:link w:val="18"/>
    <w:qFormat/>
    <w:uiPriority w:val="0"/>
    <w:pPr>
      <w:wordWrap w:val="0"/>
      <w:ind w:firstLine="480"/>
    </w:pPr>
  </w:style>
  <w:style w:type="character" w:customStyle="1" w:styleId="20">
    <w:name w:val="页眉 字符"/>
    <w:basedOn w:val="15"/>
    <w:link w:val="12"/>
    <w:qFormat/>
    <w:uiPriority w:val="0"/>
    <w:rPr>
      <w:kern w:val="2"/>
      <w:sz w:val="18"/>
      <w:szCs w:val="18"/>
    </w:rPr>
  </w:style>
  <w:style w:type="character" w:customStyle="1" w:styleId="21">
    <w:name w:val="页脚 字符"/>
    <w:basedOn w:val="15"/>
    <w:link w:val="11"/>
    <w:qFormat/>
    <w:uiPriority w:val="0"/>
    <w:rPr>
      <w:kern w:val="2"/>
      <w:sz w:val="18"/>
      <w:szCs w:val="18"/>
    </w:rPr>
  </w:style>
  <w:style w:type="paragraph" w:customStyle="1" w:styleId="22">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2190</Characters>
  <Lines>102</Lines>
  <Paragraphs>101</Paragraphs>
  <TotalTime>20</TotalTime>
  <ScaleCrop>false</ScaleCrop>
  <LinksUpToDate>false</LinksUpToDate>
  <CharactersWithSpaces>2195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2025-04-08T06:04:00Z</dcterms:created>
  <dc:creator>Administrator</dc:creator>
  <cp:lastModifiedBy>poker face</cp:lastModifiedBy>
  <cp:lastPrinted>2025-12-16T08:58:49Z</cp:lastPrinted>
  <dcterms:modified xsi:type="dcterms:W3CDTF">2025-12-16T09:11:01Z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A0F68F1336C64CDBBE7CF1C30ABBFA2D_13</vt:lpwstr>
  </property>
  <property fmtid="{D5CDD505-2E9C-101B-9397-08002B2CF9AE}" pid="4" name="KSOTemplateDocerSaveRecord">
    <vt:lpwstr>eyJoZGlkIjoiYWNiMGFmNDhjOGNlNzhhMmI3ZmU3NzRiNTFiYzRlMGYiLCJ1c2VySWQiOiIzNDY0MTI0NTcifQ==</vt:lpwstr>
  </property>
</Properties>
</file>