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D958BF">
      <w:pPr>
        <w:pStyle w:val="4"/>
        <w:widowControl/>
        <w:shd w:val="clear" w:color="auto" w:fill="FFFFFF"/>
        <w:spacing w:beforeAutospacing="0" w:afterAutospacing="0" w:line="560" w:lineRule="exact"/>
        <w:jc w:val="center"/>
        <w:textAlignment w:val="center"/>
        <w:rPr>
          <w:rFonts w:ascii="方正小标宋简体" w:hAnsi="方正小标宋简体" w:eastAsia="方正小标宋简体" w:cs="方正小标宋简体"/>
          <w:color w:val="333333"/>
          <w:sz w:val="44"/>
          <w:szCs w:val="44"/>
          <w:shd w:val="clear" w:color="auto" w:fill="FFFFFF"/>
        </w:rPr>
      </w:pPr>
      <w:r>
        <w:rPr>
          <w:rFonts w:hint="eastAsia" w:ascii="方正小标宋简体" w:hAnsi="方正小标宋简体" w:eastAsia="方正小标宋简体" w:cs="方正小标宋简体"/>
          <w:color w:val="333333"/>
          <w:sz w:val="44"/>
          <w:szCs w:val="44"/>
          <w:shd w:val="clear" w:color="auto" w:fill="FFFFFF"/>
        </w:rPr>
        <w:t>岳阳市云溪区市场监督管理局</w:t>
      </w:r>
    </w:p>
    <w:p w14:paraId="02E99A75">
      <w:pPr>
        <w:pStyle w:val="4"/>
        <w:widowControl/>
        <w:shd w:val="clear" w:color="auto" w:fill="FFFFFF"/>
        <w:spacing w:beforeAutospacing="0" w:afterAutospacing="0" w:line="560" w:lineRule="exact"/>
        <w:jc w:val="center"/>
        <w:textAlignment w:val="center"/>
        <w:rPr>
          <w:rFonts w:ascii="微软雅黑" w:hAnsi="微软雅黑" w:eastAsia="微软雅黑" w:cs="微软雅黑"/>
          <w:color w:val="333333"/>
          <w:shd w:val="clear" w:color="auto" w:fill="FFFFFF"/>
        </w:rPr>
      </w:pPr>
      <w:r>
        <w:rPr>
          <w:rFonts w:hint="eastAsia" w:ascii="方正小标宋简体" w:hAnsi="方正小标宋简体" w:eastAsia="方正小标宋简体" w:cs="方正小标宋简体"/>
          <w:color w:val="333333"/>
          <w:sz w:val="44"/>
          <w:szCs w:val="44"/>
          <w:shd w:val="clear" w:color="auto" w:fill="FFFFFF"/>
        </w:rPr>
        <w:t>关于食品抽检不合格核查处置情况的公示</w:t>
      </w:r>
    </w:p>
    <w:p w14:paraId="47E5CC6E">
      <w:pPr>
        <w:pStyle w:val="4"/>
        <w:widowControl/>
        <w:shd w:val="clear" w:color="auto" w:fill="FFFFFF"/>
        <w:spacing w:beforeAutospacing="0" w:afterAutospacing="0" w:line="560" w:lineRule="exact"/>
        <w:ind w:firstLine="640" w:firstLineChars="200"/>
        <w:jc w:val="both"/>
        <w:textAlignment w:val="center"/>
        <w:rPr>
          <w:rFonts w:ascii="仿宋_GB2312" w:hAnsi="仿宋_GB2312" w:eastAsia="仿宋_GB2312" w:cs="仿宋_GB2312"/>
          <w:color w:val="333333"/>
          <w:sz w:val="32"/>
          <w:szCs w:val="32"/>
          <w:shd w:val="clear" w:color="auto" w:fill="FFFFFF"/>
        </w:rPr>
      </w:pPr>
    </w:p>
    <w:p w14:paraId="613DE398">
      <w:pPr>
        <w:pStyle w:val="4"/>
        <w:widowControl/>
        <w:shd w:val="clear" w:color="auto" w:fill="FFFFFF"/>
        <w:spacing w:beforeAutospacing="0" w:afterAutospacing="0" w:line="560" w:lineRule="exact"/>
        <w:ind w:firstLine="640" w:firstLineChars="200"/>
        <w:jc w:val="both"/>
        <w:textAlignment w:val="center"/>
        <w:rPr>
          <w:rFonts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shd w:val="clear" w:color="auto" w:fill="FFFFFF"/>
        </w:rPr>
        <w:t>根据我区食品监督抽检反馈情况，有</w:t>
      </w:r>
      <w:r>
        <w:rPr>
          <w:rFonts w:hint="eastAsia" w:ascii="仿宋_GB2312" w:hAnsi="仿宋_GB2312" w:eastAsia="仿宋_GB2312" w:cs="仿宋_GB2312"/>
          <w:color w:val="333333"/>
          <w:sz w:val="32"/>
          <w:szCs w:val="32"/>
          <w:shd w:val="clear" w:color="auto" w:fill="FFFFFF"/>
          <w:lang w:val="en-US" w:eastAsia="zh-CN"/>
        </w:rPr>
        <w:t>3</w:t>
      </w:r>
      <w:bookmarkStart w:id="0" w:name="_GoBack"/>
      <w:bookmarkEnd w:id="0"/>
      <w:r>
        <w:rPr>
          <w:rFonts w:hint="eastAsia" w:ascii="仿宋_GB2312" w:hAnsi="仿宋_GB2312" w:eastAsia="仿宋_GB2312" w:cs="仿宋_GB2312"/>
          <w:color w:val="333333"/>
          <w:sz w:val="32"/>
          <w:szCs w:val="32"/>
          <w:shd w:val="clear" w:color="auto" w:fill="FFFFFF"/>
        </w:rPr>
        <w:t>批次食用农产品不合格，我局已向市市场监管执法支队及时交办，要求对涉及我区的食品经营主体按照在《中华人民共和国食品安全法》的规定，责令经营主体及时采取停止销售、召回不合格产品等措施，彻查问题原因，全面整改，并对相关主体依法进行调查处理。现将有关核查处置的不合格食用农产品及其经营主体的处置情况公示如下：</w:t>
      </w:r>
    </w:p>
    <w:tbl>
      <w:tblPr>
        <w:tblStyle w:val="5"/>
        <w:tblW w:w="9788"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927"/>
        <w:gridCol w:w="879"/>
        <w:gridCol w:w="624"/>
        <w:gridCol w:w="773"/>
        <w:gridCol w:w="2020"/>
        <w:gridCol w:w="1419"/>
        <w:gridCol w:w="880"/>
        <w:gridCol w:w="2266"/>
      </w:tblGrid>
      <w:tr w14:paraId="700D5DA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2292" w:hRule="atLeast"/>
          <w:jc w:val="center"/>
        </w:trPr>
        <w:tc>
          <w:tcPr>
            <w:tcW w:w="927" w:type="dxa"/>
            <w:tcBorders>
              <w:top w:val="outset" w:color="auto" w:sz="6" w:space="0"/>
              <w:left w:val="outset" w:color="auto" w:sz="6" w:space="0"/>
              <w:bottom w:val="outset" w:color="auto" w:sz="6" w:space="0"/>
              <w:right w:val="outset" w:color="auto" w:sz="6" w:space="0"/>
            </w:tcBorders>
            <w:shd w:val="clear" w:color="auto" w:fill="FFFFFF"/>
            <w:vAlign w:val="center"/>
          </w:tcPr>
          <w:p w14:paraId="50DEBC8E">
            <w:pPr>
              <w:widowControl/>
              <w:spacing w:line="440" w:lineRule="exact"/>
              <w:jc w:val="center"/>
              <w:rPr>
                <w:rFonts w:ascii="黑体" w:hAnsi="黑体" w:eastAsia="黑体" w:cs="黑体"/>
                <w:color w:val="333333"/>
                <w:kern w:val="0"/>
                <w:sz w:val="28"/>
                <w:szCs w:val="28"/>
                <w:shd w:val="clear" w:color="auto" w:fill="FFFFFF"/>
              </w:rPr>
            </w:pPr>
            <w:r>
              <w:rPr>
                <w:rFonts w:hint="eastAsia" w:ascii="黑体" w:hAnsi="黑体" w:eastAsia="黑体" w:cs="黑体"/>
                <w:color w:val="333333"/>
                <w:kern w:val="0"/>
                <w:sz w:val="28"/>
                <w:szCs w:val="28"/>
                <w:shd w:val="clear" w:color="auto" w:fill="FFFFFF"/>
              </w:rPr>
              <w:t>样品名称</w:t>
            </w:r>
          </w:p>
        </w:tc>
        <w:tc>
          <w:tcPr>
            <w:tcW w:w="879" w:type="dxa"/>
            <w:tcBorders>
              <w:top w:val="outset" w:color="auto" w:sz="6" w:space="0"/>
              <w:left w:val="outset" w:color="auto" w:sz="6" w:space="0"/>
              <w:bottom w:val="outset" w:color="auto" w:sz="6" w:space="0"/>
              <w:right w:val="outset" w:color="auto" w:sz="6" w:space="0"/>
            </w:tcBorders>
            <w:shd w:val="clear" w:color="auto" w:fill="FFFFFF"/>
            <w:vAlign w:val="center"/>
          </w:tcPr>
          <w:p w14:paraId="1DB36A2B">
            <w:pPr>
              <w:widowControl/>
              <w:spacing w:line="440" w:lineRule="exact"/>
              <w:jc w:val="center"/>
              <w:rPr>
                <w:rFonts w:ascii="黑体" w:hAnsi="黑体" w:eastAsia="黑体" w:cs="黑体"/>
                <w:color w:val="333333"/>
                <w:kern w:val="0"/>
                <w:sz w:val="28"/>
                <w:szCs w:val="28"/>
                <w:shd w:val="clear" w:color="auto" w:fill="FFFFFF"/>
              </w:rPr>
            </w:pPr>
            <w:r>
              <w:rPr>
                <w:rFonts w:hint="eastAsia" w:ascii="黑体" w:hAnsi="黑体" w:eastAsia="黑体" w:cs="黑体"/>
                <w:color w:val="333333"/>
                <w:kern w:val="0"/>
                <w:sz w:val="28"/>
                <w:szCs w:val="28"/>
                <w:shd w:val="clear" w:color="auto" w:fill="FFFFFF"/>
              </w:rPr>
              <w:t>被抽样单位</w:t>
            </w:r>
          </w:p>
        </w:tc>
        <w:tc>
          <w:tcPr>
            <w:tcW w:w="624" w:type="dxa"/>
            <w:tcBorders>
              <w:top w:val="outset" w:color="auto" w:sz="6" w:space="0"/>
              <w:left w:val="outset" w:color="auto" w:sz="6" w:space="0"/>
              <w:bottom w:val="outset" w:color="auto" w:sz="6" w:space="0"/>
              <w:right w:val="outset" w:color="auto" w:sz="6" w:space="0"/>
            </w:tcBorders>
            <w:shd w:val="clear" w:color="auto" w:fill="FFFFFF"/>
            <w:vAlign w:val="center"/>
          </w:tcPr>
          <w:p w14:paraId="5DBA59C9">
            <w:pPr>
              <w:widowControl/>
              <w:spacing w:line="440" w:lineRule="exact"/>
              <w:jc w:val="center"/>
              <w:rPr>
                <w:rFonts w:ascii="黑体" w:hAnsi="黑体" w:eastAsia="黑体" w:cs="黑体"/>
                <w:color w:val="333333"/>
                <w:kern w:val="0"/>
                <w:sz w:val="28"/>
                <w:szCs w:val="28"/>
                <w:shd w:val="clear" w:color="auto" w:fill="FFFFFF"/>
              </w:rPr>
            </w:pPr>
            <w:r>
              <w:rPr>
                <w:rFonts w:hint="eastAsia" w:ascii="黑体" w:hAnsi="黑体" w:eastAsia="黑体" w:cs="黑体"/>
                <w:color w:val="333333"/>
                <w:kern w:val="0"/>
                <w:sz w:val="28"/>
                <w:szCs w:val="28"/>
                <w:shd w:val="clear" w:color="auto" w:fill="FFFFFF"/>
              </w:rPr>
              <w:t>标称生产企业名称</w:t>
            </w:r>
          </w:p>
        </w:tc>
        <w:tc>
          <w:tcPr>
            <w:tcW w:w="773" w:type="dxa"/>
            <w:tcBorders>
              <w:top w:val="outset" w:color="auto" w:sz="6" w:space="0"/>
              <w:left w:val="outset" w:color="auto" w:sz="6" w:space="0"/>
              <w:bottom w:val="outset" w:color="auto" w:sz="6" w:space="0"/>
              <w:right w:val="outset" w:color="auto" w:sz="6" w:space="0"/>
            </w:tcBorders>
            <w:shd w:val="clear" w:color="auto" w:fill="FFFFFF"/>
            <w:vAlign w:val="center"/>
          </w:tcPr>
          <w:p w14:paraId="7550DDD1">
            <w:pPr>
              <w:widowControl/>
              <w:spacing w:line="440" w:lineRule="exact"/>
              <w:jc w:val="center"/>
              <w:rPr>
                <w:rFonts w:ascii="黑体" w:hAnsi="黑体" w:eastAsia="黑体" w:cs="黑体"/>
                <w:color w:val="333333"/>
                <w:kern w:val="0"/>
                <w:sz w:val="28"/>
                <w:szCs w:val="28"/>
                <w:shd w:val="clear" w:color="auto" w:fill="FFFFFF"/>
              </w:rPr>
            </w:pPr>
            <w:r>
              <w:rPr>
                <w:rFonts w:hint="eastAsia" w:ascii="黑体" w:hAnsi="黑体" w:eastAsia="黑体" w:cs="黑体"/>
                <w:color w:val="333333"/>
                <w:kern w:val="0"/>
                <w:sz w:val="28"/>
                <w:szCs w:val="28"/>
                <w:shd w:val="clear" w:color="auto" w:fill="FFFFFF"/>
              </w:rPr>
              <w:t>抽样日期</w:t>
            </w:r>
          </w:p>
        </w:tc>
        <w:tc>
          <w:tcPr>
            <w:tcW w:w="2020" w:type="dxa"/>
            <w:tcBorders>
              <w:top w:val="outset" w:color="auto" w:sz="6" w:space="0"/>
              <w:left w:val="outset" w:color="auto" w:sz="6" w:space="0"/>
              <w:bottom w:val="outset" w:color="auto" w:sz="6" w:space="0"/>
              <w:right w:val="outset" w:color="auto" w:sz="6" w:space="0"/>
            </w:tcBorders>
            <w:shd w:val="clear" w:color="auto" w:fill="FFFFFF"/>
            <w:vAlign w:val="center"/>
          </w:tcPr>
          <w:p w14:paraId="5293C947">
            <w:pPr>
              <w:widowControl/>
              <w:spacing w:line="440" w:lineRule="exact"/>
              <w:jc w:val="center"/>
              <w:rPr>
                <w:rFonts w:ascii="黑体" w:hAnsi="黑体" w:eastAsia="黑体" w:cs="黑体"/>
                <w:color w:val="333333"/>
                <w:kern w:val="0"/>
                <w:sz w:val="28"/>
                <w:szCs w:val="28"/>
                <w:shd w:val="clear" w:color="auto" w:fill="FFFFFF"/>
              </w:rPr>
            </w:pPr>
            <w:r>
              <w:rPr>
                <w:rFonts w:hint="eastAsia" w:ascii="黑体" w:hAnsi="黑体" w:eastAsia="黑体" w:cs="黑体"/>
                <w:color w:val="333333"/>
                <w:kern w:val="0"/>
                <w:sz w:val="28"/>
                <w:szCs w:val="28"/>
                <w:shd w:val="clear" w:color="auto" w:fill="FFFFFF"/>
              </w:rPr>
              <w:t>抽样/报告编号</w:t>
            </w:r>
          </w:p>
        </w:tc>
        <w:tc>
          <w:tcPr>
            <w:tcW w:w="1419" w:type="dxa"/>
            <w:tcBorders>
              <w:top w:val="outset" w:color="auto" w:sz="6" w:space="0"/>
              <w:left w:val="outset" w:color="auto" w:sz="6" w:space="0"/>
              <w:bottom w:val="outset" w:color="auto" w:sz="6" w:space="0"/>
              <w:right w:val="outset" w:color="auto" w:sz="6" w:space="0"/>
            </w:tcBorders>
            <w:shd w:val="clear" w:color="auto" w:fill="FFFFFF"/>
            <w:vAlign w:val="center"/>
          </w:tcPr>
          <w:p w14:paraId="4A8CA892">
            <w:pPr>
              <w:widowControl/>
              <w:spacing w:line="440" w:lineRule="exact"/>
              <w:jc w:val="center"/>
              <w:rPr>
                <w:rFonts w:ascii="黑体" w:hAnsi="黑体" w:eastAsia="黑体" w:cs="黑体"/>
                <w:color w:val="333333"/>
                <w:kern w:val="0"/>
                <w:sz w:val="28"/>
                <w:szCs w:val="28"/>
                <w:shd w:val="clear" w:color="auto" w:fill="FFFFFF"/>
              </w:rPr>
            </w:pPr>
            <w:r>
              <w:rPr>
                <w:rFonts w:hint="eastAsia" w:ascii="黑体" w:hAnsi="黑体" w:eastAsia="黑体" w:cs="黑体"/>
                <w:color w:val="333333"/>
                <w:kern w:val="0"/>
                <w:sz w:val="28"/>
                <w:szCs w:val="28"/>
                <w:shd w:val="clear" w:color="auto" w:fill="FFFFFF"/>
              </w:rPr>
              <w:t>不合格项目</w:t>
            </w:r>
          </w:p>
        </w:tc>
        <w:tc>
          <w:tcPr>
            <w:tcW w:w="880" w:type="dxa"/>
            <w:tcBorders>
              <w:top w:val="outset" w:color="auto" w:sz="6" w:space="0"/>
              <w:left w:val="outset" w:color="auto" w:sz="6" w:space="0"/>
              <w:bottom w:val="outset" w:color="auto" w:sz="6" w:space="0"/>
              <w:right w:val="outset" w:color="auto" w:sz="6" w:space="0"/>
            </w:tcBorders>
            <w:shd w:val="clear" w:color="auto" w:fill="FFFFFF"/>
            <w:vAlign w:val="center"/>
          </w:tcPr>
          <w:p w14:paraId="6C883F98">
            <w:pPr>
              <w:widowControl/>
              <w:spacing w:line="440" w:lineRule="exact"/>
              <w:jc w:val="center"/>
              <w:rPr>
                <w:rFonts w:ascii="黑体" w:hAnsi="黑体" w:eastAsia="黑体" w:cs="黑体"/>
                <w:color w:val="333333"/>
                <w:kern w:val="0"/>
                <w:sz w:val="28"/>
                <w:szCs w:val="28"/>
                <w:shd w:val="clear" w:color="auto" w:fill="FFFFFF"/>
              </w:rPr>
            </w:pPr>
            <w:r>
              <w:rPr>
                <w:rFonts w:hint="eastAsia" w:ascii="黑体" w:hAnsi="黑体" w:eastAsia="黑体" w:cs="黑体"/>
                <w:color w:val="333333"/>
                <w:kern w:val="0"/>
                <w:sz w:val="28"/>
                <w:szCs w:val="28"/>
                <w:shd w:val="clear" w:color="auto" w:fill="FFFFFF"/>
              </w:rPr>
              <w:t>处置单位</w:t>
            </w:r>
          </w:p>
        </w:tc>
        <w:tc>
          <w:tcPr>
            <w:tcW w:w="2266" w:type="dxa"/>
            <w:tcBorders>
              <w:top w:val="outset" w:color="auto" w:sz="6" w:space="0"/>
              <w:left w:val="outset" w:color="auto" w:sz="6" w:space="0"/>
              <w:bottom w:val="outset" w:color="auto" w:sz="6" w:space="0"/>
              <w:right w:val="outset" w:color="auto" w:sz="6" w:space="0"/>
            </w:tcBorders>
            <w:shd w:val="clear" w:color="auto" w:fill="FFFFFF"/>
            <w:vAlign w:val="center"/>
          </w:tcPr>
          <w:p w14:paraId="3990B66D">
            <w:pPr>
              <w:widowControl/>
              <w:spacing w:line="440" w:lineRule="exact"/>
              <w:jc w:val="center"/>
              <w:rPr>
                <w:rFonts w:ascii="黑体" w:hAnsi="黑体" w:eastAsia="黑体" w:cs="黑体"/>
                <w:color w:val="333333"/>
                <w:kern w:val="0"/>
                <w:sz w:val="28"/>
                <w:szCs w:val="28"/>
                <w:shd w:val="clear" w:color="auto" w:fill="FFFFFF"/>
              </w:rPr>
            </w:pPr>
            <w:r>
              <w:rPr>
                <w:rFonts w:hint="eastAsia" w:ascii="黑体" w:hAnsi="黑体" w:eastAsia="黑体" w:cs="黑体"/>
                <w:color w:val="333333"/>
                <w:kern w:val="0"/>
                <w:sz w:val="28"/>
                <w:szCs w:val="28"/>
                <w:shd w:val="clear" w:color="auto" w:fill="FFFFFF"/>
              </w:rPr>
              <w:t>处置结果</w:t>
            </w:r>
          </w:p>
        </w:tc>
      </w:tr>
      <w:tr w14:paraId="1AE115E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92" w:hRule="atLeast"/>
          <w:jc w:val="center"/>
        </w:trPr>
        <w:tc>
          <w:tcPr>
            <w:tcW w:w="927" w:type="dxa"/>
            <w:tcBorders>
              <w:top w:val="outset" w:color="auto" w:sz="6" w:space="0"/>
              <w:left w:val="outset" w:color="auto" w:sz="6" w:space="0"/>
              <w:bottom w:val="outset" w:color="auto" w:sz="6" w:space="0"/>
              <w:right w:val="outset" w:color="auto" w:sz="6" w:space="0"/>
            </w:tcBorders>
            <w:shd w:val="clear" w:color="auto" w:fill="FFFFFF"/>
            <w:vAlign w:val="center"/>
          </w:tcPr>
          <w:p w14:paraId="780C66FC">
            <w:pPr>
              <w:widowControl/>
              <w:jc w:val="center"/>
              <w:rPr>
                <w:rFonts w:hint="eastAsia" w:cs="仿宋_GB2312" w:asciiTheme="minorEastAsia" w:hAnsiTheme="minorEastAsia"/>
                <w:color w:val="333333"/>
                <w:kern w:val="0"/>
                <w:sz w:val="24"/>
                <w:szCs w:val="24"/>
                <w:lang w:eastAsia="zh-CN"/>
              </w:rPr>
            </w:pPr>
            <w:r>
              <w:rPr>
                <w:rFonts w:hint="eastAsia" w:cs="仿宋_GB2312" w:asciiTheme="minorEastAsia" w:hAnsiTheme="minorEastAsia"/>
                <w:color w:val="333333"/>
                <w:kern w:val="0"/>
                <w:sz w:val="24"/>
                <w:szCs w:val="24"/>
              </w:rPr>
              <w:t>小台芒</w:t>
            </w:r>
          </w:p>
        </w:tc>
        <w:tc>
          <w:tcPr>
            <w:tcW w:w="879" w:type="dxa"/>
            <w:tcBorders>
              <w:top w:val="outset" w:color="auto" w:sz="6" w:space="0"/>
              <w:left w:val="outset" w:color="auto" w:sz="6" w:space="0"/>
              <w:right w:val="outset" w:color="auto" w:sz="6" w:space="0"/>
            </w:tcBorders>
            <w:shd w:val="clear" w:color="auto" w:fill="FFFFFF"/>
            <w:vAlign w:val="center"/>
          </w:tcPr>
          <w:p w14:paraId="65940E13">
            <w:pPr>
              <w:widowControl/>
              <w:jc w:val="center"/>
              <w:rPr>
                <w:rFonts w:hint="default" w:cs="仿宋_GB2312" w:asciiTheme="minorEastAsia" w:hAnsiTheme="minorEastAsia"/>
                <w:color w:val="333333"/>
                <w:kern w:val="0"/>
                <w:sz w:val="24"/>
                <w:szCs w:val="24"/>
                <w:lang w:val="en-US" w:eastAsia="zh-CN"/>
              </w:rPr>
            </w:pPr>
            <w:r>
              <w:rPr>
                <w:rFonts w:hint="eastAsia" w:cs="仿宋_GB2312" w:asciiTheme="minorEastAsia" w:hAnsiTheme="minorEastAsia"/>
                <w:color w:val="333333"/>
                <w:kern w:val="0"/>
                <w:sz w:val="24"/>
                <w:szCs w:val="24"/>
              </w:rPr>
              <w:t>云溪区果然心动商行</w:t>
            </w:r>
          </w:p>
        </w:tc>
        <w:tc>
          <w:tcPr>
            <w:tcW w:w="624" w:type="dxa"/>
            <w:tcBorders>
              <w:top w:val="outset" w:color="auto" w:sz="6" w:space="0"/>
              <w:left w:val="outset" w:color="auto" w:sz="6" w:space="0"/>
              <w:right w:val="outset" w:color="auto" w:sz="6" w:space="0"/>
            </w:tcBorders>
            <w:shd w:val="clear" w:color="auto" w:fill="FFFFFF"/>
            <w:vAlign w:val="center"/>
          </w:tcPr>
          <w:p w14:paraId="0BA03BC1">
            <w:pPr>
              <w:widowControl/>
              <w:jc w:val="center"/>
              <w:rPr>
                <w:rFonts w:hint="default" w:cs="仿宋_GB2312" w:asciiTheme="minorEastAsia" w:hAnsiTheme="minorEastAsia"/>
                <w:color w:val="333333"/>
                <w:kern w:val="0"/>
                <w:sz w:val="24"/>
                <w:szCs w:val="24"/>
                <w:lang w:val="en-US" w:eastAsia="zh-CN"/>
              </w:rPr>
            </w:pPr>
            <w:r>
              <w:rPr>
                <w:rFonts w:hint="eastAsia" w:cs="仿宋_GB2312" w:asciiTheme="minorEastAsia" w:hAnsiTheme="minorEastAsia"/>
                <w:color w:val="333333"/>
                <w:kern w:val="0"/>
                <w:sz w:val="24"/>
                <w:szCs w:val="24"/>
                <w:lang w:val="en-US" w:eastAsia="zh-CN"/>
              </w:rPr>
              <w:t>/</w:t>
            </w:r>
          </w:p>
        </w:tc>
        <w:tc>
          <w:tcPr>
            <w:tcW w:w="773" w:type="dxa"/>
            <w:tcBorders>
              <w:top w:val="outset" w:color="auto" w:sz="6" w:space="0"/>
              <w:left w:val="outset" w:color="auto" w:sz="6" w:space="0"/>
              <w:right w:val="outset" w:color="auto" w:sz="6" w:space="0"/>
            </w:tcBorders>
            <w:shd w:val="clear" w:color="auto" w:fill="FFFFFF"/>
            <w:vAlign w:val="center"/>
          </w:tcPr>
          <w:p w14:paraId="52C1FB9A">
            <w:pPr>
              <w:widowControl/>
              <w:jc w:val="center"/>
              <w:rPr>
                <w:rFonts w:hint="eastAsia" w:cs="仿宋_GB2312" w:asciiTheme="minorEastAsia" w:hAnsiTheme="minorEastAsia"/>
                <w:color w:val="333333"/>
                <w:kern w:val="0"/>
                <w:sz w:val="24"/>
                <w:szCs w:val="24"/>
                <w:lang w:val="en-US" w:eastAsia="zh-CN"/>
              </w:rPr>
            </w:pPr>
            <w:r>
              <w:rPr>
                <w:rFonts w:hint="eastAsia" w:cs="仿宋_GB2312" w:asciiTheme="minorEastAsia" w:hAnsiTheme="minorEastAsia"/>
                <w:color w:val="333333"/>
                <w:kern w:val="0"/>
                <w:sz w:val="24"/>
                <w:szCs w:val="24"/>
              </w:rPr>
              <w:t>2026-07-16</w:t>
            </w:r>
          </w:p>
        </w:tc>
        <w:tc>
          <w:tcPr>
            <w:tcW w:w="2020" w:type="dxa"/>
            <w:tcBorders>
              <w:top w:val="outset" w:color="auto" w:sz="6" w:space="0"/>
              <w:left w:val="outset" w:color="auto" w:sz="6" w:space="0"/>
              <w:bottom w:val="outset" w:color="auto" w:sz="6" w:space="0"/>
              <w:right w:val="outset" w:color="auto" w:sz="6" w:space="0"/>
            </w:tcBorders>
            <w:shd w:val="clear" w:color="auto" w:fill="FFFFFF"/>
            <w:vAlign w:val="center"/>
          </w:tcPr>
          <w:p w14:paraId="3CB0AD1A">
            <w:pPr>
              <w:widowControl/>
              <w:jc w:val="center"/>
              <w:rPr>
                <w:rFonts w:hint="default" w:cs="仿宋_GB2312" w:asciiTheme="minorEastAsia" w:hAnsiTheme="minorEastAsia"/>
                <w:color w:val="333333"/>
                <w:kern w:val="0"/>
                <w:sz w:val="24"/>
                <w:szCs w:val="24"/>
                <w:lang w:val="en-US" w:eastAsia="zh-CN"/>
              </w:rPr>
            </w:pPr>
            <w:r>
              <w:rPr>
                <w:rFonts w:hint="eastAsia" w:cs="仿宋_GB2312" w:asciiTheme="minorEastAsia" w:hAnsiTheme="minorEastAsia"/>
                <w:color w:val="333333"/>
                <w:kern w:val="0"/>
                <w:sz w:val="24"/>
                <w:szCs w:val="24"/>
              </w:rPr>
              <w:t>4303260776826</w:t>
            </w:r>
            <w:r>
              <w:rPr>
                <w:rFonts w:hint="eastAsia" w:cs="仿宋_GB2312" w:asciiTheme="minorEastAsia" w:hAnsiTheme="minorEastAsia"/>
                <w:color w:val="333333"/>
                <w:kern w:val="0"/>
                <w:sz w:val="24"/>
                <w:szCs w:val="24"/>
                <w:lang w:val="en-US" w:eastAsia="zh-CN"/>
              </w:rPr>
              <w:t>-S</w:t>
            </w:r>
          </w:p>
        </w:tc>
        <w:tc>
          <w:tcPr>
            <w:tcW w:w="1419" w:type="dxa"/>
            <w:tcBorders>
              <w:top w:val="outset" w:color="auto" w:sz="6" w:space="0"/>
              <w:left w:val="outset" w:color="auto" w:sz="6" w:space="0"/>
              <w:bottom w:val="outset" w:color="auto" w:sz="6" w:space="0"/>
              <w:right w:val="outset" w:color="auto" w:sz="6" w:space="0"/>
            </w:tcBorders>
            <w:shd w:val="clear" w:color="auto" w:fill="FFFFFF"/>
            <w:vAlign w:val="center"/>
          </w:tcPr>
          <w:p w14:paraId="738FE468">
            <w:pPr>
              <w:widowControl/>
              <w:jc w:val="center"/>
              <w:rPr>
                <w:rFonts w:hint="eastAsia" w:cs="仿宋_GB2312" w:asciiTheme="minorEastAsia" w:hAnsiTheme="minorEastAsia"/>
                <w:color w:val="333333"/>
                <w:kern w:val="0"/>
                <w:sz w:val="24"/>
                <w:szCs w:val="24"/>
                <w:lang w:val="en-US" w:eastAsia="zh-CN"/>
              </w:rPr>
            </w:pPr>
            <w:r>
              <w:rPr>
                <w:rFonts w:hint="eastAsia" w:cs="仿宋_GB2312" w:asciiTheme="minorEastAsia" w:hAnsiTheme="minorEastAsia"/>
                <w:color w:val="333333"/>
                <w:kern w:val="0"/>
                <w:sz w:val="24"/>
                <w:szCs w:val="24"/>
              </w:rPr>
              <w:t>吡唑醚菌酯</w:t>
            </w:r>
          </w:p>
        </w:tc>
        <w:tc>
          <w:tcPr>
            <w:tcW w:w="880" w:type="dxa"/>
            <w:tcBorders>
              <w:top w:val="outset" w:color="auto" w:sz="6" w:space="0"/>
              <w:left w:val="outset" w:color="auto" w:sz="6" w:space="0"/>
              <w:bottom w:val="outset" w:color="auto" w:sz="6" w:space="0"/>
              <w:right w:val="outset" w:color="auto" w:sz="6" w:space="0"/>
            </w:tcBorders>
            <w:shd w:val="clear" w:color="auto" w:fill="FFFFFF"/>
            <w:vAlign w:val="center"/>
          </w:tcPr>
          <w:p w14:paraId="1CF0A7B7">
            <w:pPr>
              <w:widowControl/>
              <w:jc w:val="center"/>
              <w:rPr>
                <w:rFonts w:cs="仿宋_GB2312" w:asciiTheme="minorEastAsia" w:hAnsiTheme="minorEastAsia"/>
                <w:color w:val="2E3C4E"/>
                <w:sz w:val="24"/>
                <w:szCs w:val="24"/>
                <w:shd w:val="clear" w:color="auto" w:fill="FFFFFF"/>
              </w:rPr>
            </w:pPr>
            <w:r>
              <w:rPr>
                <w:rFonts w:hint="eastAsia" w:cs="仿宋_GB2312" w:asciiTheme="minorEastAsia" w:hAnsiTheme="minorEastAsia"/>
                <w:color w:val="2E3C4E"/>
                <w:sz w:val="24"/>
                <w:szCs w:val="24"/>
                <w:shd w:val="clear" w:color="auto" w:fill="FFFFFF"/>
              </w:rPr>
              <w:t>岳阳市市场监管综合行政执法支队云溪大队</w:t>
            </w:r>
          </w:p>
        </w:tc>
        <w:tc>
          <w:tcPr>
            <w:tcW w:w="2266" w:type="dxa"/>
            <w:tcBorders>
              <w:top w:val="outset" w:color="auto" w:sz="6" w:space="0"/>
              <w:left w:val="outset" w:color="auto" w:sz="6" w:space="0"/>
              <w:bottom w:val="outset" w:color="auto" w:sz="6" w:space="0"/>
              <w:right w:val="outset" w:color="auto" w:sz="6" w:space="0"/>
            </w:tcBorders>
            <w:shd w:val="clear" w:color="auto" w:fill="FFFFFF"/>
            <w:vAlign w:val="center"/>
          </w:tcPr>
          <w:p w14:paraId="0293605D">
            <w:pPr>
              <w:widowControl/>
              <w:jc w:val="left"/>
              <w:rPr>
                <w:rFonts w:cs="仿宋_GB2312" w:asciiTheme="minorEastAsia" w:hAnsiTheme="minorEastAsia"/>
                <w:color w:val="333333"/>
                <w:sz w:val="24"/>
                <w:szCs w:val="24"/>
              </w:rPr>
            </w:pPr>
            <w:r>
              <w:rPr>
                <w:rFonts w:hint="eastAsia" w:cs="仿宋_GB2312" w:asciiTheme="minorEastAsia" w:hAnsiTheme="minorEastAsia"/>
                <w:color w:val="333333"/>
                <w:kern w:val="0"/>
                <w:sz w:val="24"/>
                <w:szCs w:val="24"/>
              </w:rPr>
              <w:t>当事人已履行进货查验等义务，有充分证据证明其不知道所采购的食品不符合食品安全</w:t>
            </w:r>
            <w:r>
              <w:rPr>
                <w:rFonts w:hint="eastAsia" w:cs="仿宋_GB2312" w:asciiTheme="minorEastAsia" w:hAnsiTheme="minorEastAsia"/>
                <w:color w:val="333333"/>
                <w:kern w:val="0"/>
                <w:sz w:val="24"/>
                <w:szCs w:val="24"/>
                <w:lang w:val="en-US" w:eastAsia="zh-CN"/>
              </w:rPr>
              <w:t>国家</w:t>
            </w:r>
            <w:r>
              <w:rPr>
                <w:rFonts w:hint="eastAsia" w:cs="仿宋_GB2312" w:asciiTheme="minorEastAsia" w:hAnsiTheme="minorEastAsia"/>
                <w:color w:val="333333"/>
                <w:kern w:val="0"/>
                <w:sz w:val="24"/>
                <w:szCs w:val="24"/>
              </w:rPr>
              <w:t>标准，并能如实说明其进货来源的，依据《市场监督管理行政处罚程序规定》第二十条的规定，决定不予立案</w:t>
            </w:r>
            <w:r>
              <w:rPr>
                <w:rFonts w:hint="eastAsia" w:cs="仿宋_GB2312" w:asciiTheme="minorEastAsia" w:hAnsiTheme="minorEastAsia"/>
                <w:color w:val="333333"/>
                <w:kern w:val="0"/>
                <w:sz w:val="24"/>
                <w:szCs w:val="24"/>
                <w:lang w:eastAsia="zh-CN"/>
              </w:rPr>
              <w:t>。对涉案食品溯源继续下一步核查</w:t>
            </w:r>
            <w:r>
              <w:rPr>
                <w:rFonts w:hint="eastAsia" w:cs="仿宋_GB2312" w:asciiTheme="minorEastAsia" w:hAnsiTheme="minorEastAsia"/>
                <w:color w:val="333333"/>
                <w:kern w:val="0"/>
                <w:sz w:val="24"/>
                <w:szCs w:val="24"/>
              </w:rPr>
              <w:t>。</w:t>
            </w:r>
          </w:p>
        </w:tc>
      </w:tr>
      <w:tr w14:paraId="0A9CFE0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327" w:hRule="atLeast"/>
          <w:jc w:val="center"/>
        </w:trPr>
        <w:tc>
          <w:tcPr>
            <w:tcW w:w="927" w:type="dxa"/>
            <w:tcBorders>
              <w:top w:val="outset" w:color="auto" w:sz="6" w:space="0"/>
              <w:left w:val="outset" w:color="auto" w:sz="6" w:space="0"/>
              <w:bottom w:val="outset" w:color="auto" w:sz="6" w:space="0"/>
              <w:right w:val="outset" w:color="auto" w:sz="6" w:space="0"/>
            </w:tcBorders>
            <w:shd w:val="clear" w:color="auto" w:fill="FFFFFF"/>
            <w:vAlign w:val="center"/>
          </w:tcPr>
          <w:p w14:paraId="799EFDE9">
            <w:pPr>
              <w:widowControl/>
              <w:jc w:val="center"/>
              <w:rPr>
                <w:rFonts w:hint="default" w:cs="仿宋_GB2312" w:asciiTheme="minorEastAsia" w:hAnsiTheme="minorEastAsia"/>
                <w:color w:val="333333"/>
                <w:kern w:val="0"/>
                <w:sz w:val="24"/>
                <w:szCs w:val="24"/>
                <w:lang w:val="en-US" w:eastAsia="zh-CN"/>
              </w:rPr>
            </w:pPr>
            <w:r>
              <w:rPr>
                <w:rFonts w:hint="eastAsia" w:cs="仿宋_GB2312" w:asciiTheme="minorEastAsia" w:hAnsiTheme="minorEastAsia"/>
                <w:color w:val="333333"/>
                <w:kern w:val="0"/>
                <w:sz w:val="24"/>
                <w:szCs w:val="24"/>
              </w:rPr>
              <w:t>香妃柑</w:t>
            </w:r>
          </w:p>
        </w:tc>
        <w:tc>
          <w:tcPr>
            <w:tcW w:w="879" w:type="dxa"/>
            <w:tcBorders>
              <w:left w:val="outset" w:color="auto" w:sz="6" w:space="0"/>
              <w:right w:val="outset" w:color="auto" w:sz="6" w:space="0"/>
            </w:tcBorders>
            <w:shd w:val="clear" w:color="auto" w:fill="FFFFFF"/>
            <w:vAlign w:val="center"/>
          </w:tcPr>
          <w:p w14:paraId="4CB67C99">
            <w:pPr>
              <w:widowControl/>
              <w:jc w:val="center"/>
              <w:rPr>
                <w:rFonts w:hint="eastAsia" w:cs="仿宋_GB2312" w:asciiTheme="minorEastAsia" w:hAnsiTheme="minorEastAsia"/>
                <w:color w:val="333333"/>
                <w:kern w:val="0"/>
                <w:sz w:val="24"/>
                <w:szCs w:val="24"/>
                <w:lang w:val="en-US" w:eastAsia="zh-CN"/>
              </w:rPr>
            </w:pPr>
            <w:r>
              <w:rPr>
                <w:rFonts w:hint="eastAsia" w:cs="仿宋_GB2312" w:asciiTheme="minorEastAsia" w:hAnsiTheme="minorEastAsia"/>
                <w:color w:val="333333"/>
                <w:kern w:val="0"/>
                <w:sz w:val="24"/>
                <w:szCs w:val="24"/>
              </w:rPr>
              <w:t>云溪区果然心动商行</w:t>
            </w:r>
          </w:p>
        </w:tc>
        <w:tc>
          <w:tcPr>
            <w:tcW w:w="624" w:type="dxa"/>
            <w:tcBorders>
              <w:left w:val="outset" w:color="auto" w:sz="6" w:space="0"/>
              <w:right w:val="outset" w:color="auto" w:sz="6" w:space="0"/>
            </w:tcBorders>
            <w:shd w:val="clear" w:color="auto" w:fill="FFFFFF"/>
            <w:vAlign w:val="center"/>
          </w:tcPr>
          <w:p w14:paraId="72FCFC64">
            <w:pPr>
              <w:widowControl/>
              <w:jc w:val="center"/>
              <w:rPr>
                <w:rFonts w:hint="default" w:cs="仿宋_GB2312" w:asciiTheme="minorEastAsia" w:hAnsiTheme="minorEastAsia"/>
                <w:color w:val="333333"/>
                <w:kern w:val="0"/>
                <w:sz w:val="24"/>
                <w:szCs w:val="24"/>
                <w:lang w:val="en-US" w:eastAsia="zh-CN"/>
              </w:rPr>
            </w:pPr>
            <w:r>
              <w:rPr>
                <w:rFonts w:hint="eastAsia" w:cs="仿宋_GB2312" w:asciiTheme="minorEastAsia" w:hAnsiTheme="minorEastAsia"/>
                <w:color w:val="333333"/>
                <w:kern w:val="0"/>
                <w:sz w:val="24"/>
                <w:szCs w:val="24"/>
                <w:lang w:val="en-US" w:eastAsia="zh-CN"/>
              </w:rPr>
              <w:t>/</w:t>
            </w:r>
          </w:p>
        </w:tc>
        <w:tc>
          <w:tcPr>
            <w:tcW w:w="773" w:type="dxa"/>
            <w:tcBorders>
              <w:left w:val="outset" w:color="auto" w:sz="6" w:space="0"/>
              <w:right w:val="outset" w:color="auto" w:sz="6" w:space="0"/>
            </w:tcBorders>
            <w:shd w:val="clear" w:color="auto" w:fill="FFFFFF"/>
            <w:vAlign w:val="center"/>
          </w:tcPr>
          <w:p w14:paraId="5C45EA42">
            <w:pPr>
              <w:widowControl/>
              <w:jc w:val="center"/>
              <w:rPr>
                <w:rFonts w:hint="eastAsia" w:cs="仿宋_GB2312" w:asciiTheme="minorEastAsia" w:hAnsiTheme="minorEastAsia"/>
                <w:color w:val="333333"/>
                <w:kern w:val="0"/>
                <w:sz w:val="24"/>
                <w:szCs w:val="24"/>
                <w:lang w:val="en-US" w:eastAsia="zh-CN"/>
              </w:rPr>
            </w:pPr>
            <w:r>
              <w:rPr>
                <w:rFonts w:hint="eastAsia" w:cs="仿宋_GB2312" w:asciiTheme="minorEastAsia" w:hAnsiTheme="minorEastAsia"/>
                <w:color w:val="333333"/>
                <w:kern w:val="0"/>
                <w:sz w:val="24"/>
                <w:szCs w:val="24"/>
              </w:rPr>
              <w:t>2026-07-16</w:t>
            </w:r>
          </w:p>
        </w:tc>
        <w:tc>
          <w:tcPr>
            <w:tcW w:w="2020" w:type="dxa"/>
            <w:tcBorders>
              <w:top w:val="outset" w:color="auto" w:sz="6" w:space="0"/>
              <w:left w:val="outset" w:color="auto" w:sz="6" w:space="0"/>
              <w:bottom w:val="outset" w:color="auto" w:sz="6" w:space="0"/>
              <w:right w:val="outset" w:color="auto" w:sz="6" w:space="0"/>
            </w:tcBorders>
            <w:shd w:val="clear" w:color="auto" w:fill="FFFFFF"/>
            <w:vAlign w:val="center"/>
          </w:tcPr>
          <w:p w14:paraId="32B7AC57">
            <w:pPr>
              <w:widowControl/>
              <w:jc w:val="center"/>
              <w:rPr>
                <w:rFonts w:hint="default" w:cs="仿宋_GB2312" w:asciiTheme="minorEastAsia" w:hAnsiTheme="minorEastAsia"/>
                <w:color w:val="333333"/>
                <w:kern w:val="0"/>
                <w:sz w:val="24"/>
                <w:szCs w:val="24"/>
                <w:lang w:val="en-US" w:eastAsia="zh-CN"/>
              </w:rPr>
            </w:pPr>
            <w:r>
              <w:rPr>
                <w:rFonts w:hint="eastAsia" w:cs="仿宋_GB2312" w:asciiTheme="minorEastAsia" w:hAnsiTheme="minorEastAsia"/>
                <w:color w:val="333333"/>
                <w:kern w:val="0"/>
                <w:sz w:val="24"/>
                <w:szCs w:val="24"/>
              </w:rPr>
              <w:t>4303260776818</w:t>
            </w:r>
            <w:r>
              <w:rPr>
                <w:rFonts w:hint="eastAsia" w:cs="仿宋_GB2312" w:asciiTheme="minorEastAsia" w:hAnsiTheme="minorEastAsia"/>
                <w:color w:val="333333"/>
                <w:kern w:val="0"/>
                <w:sz w:val="24"/>
                <w:szCs w:val="24"/>
                <w:lang w:val="en-US" w:eastAsia="zh-CN"/>
              </w:rPr>
              <w:t>-S</w:t>
            </w:r>
          </w:p>
        </w:tc>
        <w:tc>
          <w:tcPr>
            <w:tcW w:w="1419" w:type="dxa"/>
            <w:tcBorders>
              <w:top w:val="outset" w:color="auto" w:sz="6" w:space="0"/>
              <w:left w:val="outset" w:color="auto" w:sz="6" w:space="0"/>
              <w:bottom w:val="outset" w:color="auto" w:sz="6" w:space="0"/>
              <w:right w:val="outset" w:color="auto" w:sz="6" w:space="0"/>
            </w:tcBorders>
            <w:shd w:val="clear" w:color="auto" w:fill="FFFFFF"/>
            <w:vAlign w:val="center"/>
          </w:tcPr>
          <w:p w14:paraId="2383169F">
            <w:pPr>
              <w:widowControl/>
              <w:jc w:val="center"/>
              <w:rPr>
                <w:rFonts w:hint="eastAsia" w:cs="仿宋_GB2312" w:asciiTheme="minorEastAsia" w:hAnsiTheme="minorEastAsia"/>
                <w:color w:val="333333"/>
                <w:kern w:val="0"/>
                <w:sz w:val="24"/>
                <w:szCs w:val="24"/>
                <w:lang w:eastAsia="zh-CN"/>
              </w:rPr>
            </w:pPr>
            <w:r>
              <w:rPr>
                <w:rFonts w:hint="eastAsia" w:cs="仿宋_GB2312" w:asciiTheme="minorEastAsia" w:hAnsiTheme="minorEastAsia"/>
                <w:color w:val="333333"/>
                <w:kern w:val="0"/>
                <w:sz w:val="24"/>
                <w:szCs w:val="24"/>
              </w:rPr>
              <w:t>苯醚甲环唑</w:t>
            </w:r>
            <w:r>
              <w:rPr>
                <w:rFonts w:hint="eastAsia" w:cs="仿宋_GB2312" w:asciiTheme="minorEastAsia" w:hAnsiTheme="minorEastAsia"/>
                <w:color w:val="333333"/>
                <w:kern w:val="0"/>
                <w:sz w:val="24"/>
                <w:szCs w:val="24"/>
                <w:lang w:eastAsia="zh-CN"/>
              </w:rPr>
              <w:t>、</w:t>
            </w:r>
          </w:p>
          <w:p w14:paraId="7310ADA8">
            <w:pPr>
              <w:widowControl/>
              <w:jc w:val="center"/>
              <w:rPr>
                <w:rFonts w:hint="eastAsia" w:cs="仿宋_GB2312" w:asciiTheme="minorEastAsia" w:hAnsiTheme="minorEastAsia"/>
                <w:color w:val="333333"/>
                <w:kern w:val="0"/>
                <w:sz w:val="24"/>
                <w:szCs w:val="24"/>
                <w:lang w:val="en-US" w:eastAsia="zh-CN"/>
              </w:rPr>
            </w:pPr>
            <w:r>
              <w:rPr>
                <w:rFonts w:hint="eastAsia" w:cs="仿宋_GB2312" w:asciiTheme="minorEastAsia" w:hAnsiTheme="minorEastAsia"/>
                <w:color w:val="333333"/>
                <w:kern w:val="0"/>
                <w:sz w:val="24"/>
                <w:szCs w:val="24"/>
              </w:rPr>
              <w:t>氯氟氰菊酯和高效氯氟氰菊酯</w:t>
            </w:r>
          </w:p>
        </w:tc>
        <w:tc>
          <w:tcPr>
            <w:tcW w:w="880" w:type="dxa"/>
            <w:tcBorders>
              <w:top w:val="outset" w:color="auto" w:sz="6" w:space="0"/>
              <w:left w:val="outset" w:color="auto" w:sz="6" w:space="0"/>
              <w:bottom w:val="outset" w:color="auto" w:sz="6" w:space="0"/>
              <w:right w:val="outset" w:color="auto" w:sz="6" w:space="0"/>
            </w:tcBorders>
            <w:shd w:val="clear" w:color="auto" w:fill="FFFFFF"/>
            <w:vAlign w:val="center"/>
          </w:tcPr>
          <w:p w14:paraId="6FED1903">
            <w:pPr>
              <w:widowControl/>
              <w:jc w:val="center"/>
              <w:rPr>
                <w:rFonts w:cs="仿宋_GB2312" w:asciiTheme="minorEastAsia" w:hAnsiTheme="minorEastAsia"/>
                <w:color w:val="333333"/>
                <w:sz w:val="24"/>
                <w:szCs w:val="24"/>
              </w:rPr>
            </w:pPr>
            <w:r>
              <w:rPr>
                <w:rFonts w:hint="eastAsia" w:cs="仿宋_GB2312" w:asciiTheme="minorEastAsia" w:hAnsiTheme="minorEastAsia"/>
                <w:color w:val="333333"/>
                <w:sz w:val="24"/>
                <w:szCs w:val="24"/>
              </w:rPr>
              <w:t>岳阳市市场监管综合行政执法支队云溪大队</w:t>
            </w:r>
          </w:p>
        </w:tc>
        <w:tc>
          <w:tcPr>
            <w:tcW w:w="2266" w:type="dxa"/>
            <w:tcBorders>
              <w:top w:val="outset" w:color="auto" w:sz="6" w:space="0"/>
              <w:left w:val="outset" w:color="auto" w:sz="6" w:space="0"/>
              <w:bottom w:val="outset" w:color="auto" w:sz="6" w:space="0"/>
              <w:right w:val="outset" w:color="auto" w:sz="6" w:space="0"/>
            </w:tcBorders>
            <w:shd w:val="clear" w:color="auto" w:fill="FFFFFF"/>
            <w:vAlign w:val="center"/>
          </w:tcPr>
          <w:p w14:paraId="0E3200EF">
            <w:pPr>
              <w:widowControl/>
              <w:jc w:val="left"/>
              <w:rPr>
                <w:rFonts w:cs="仿宋_GB2312" w:asciiTheme="minorEastAsia" w:hAnsiTheme="minorEastAsia"/>
                <w:color w:val="333333"/>
                <w:sz w:val="24"/>
                <w:szCs w:val="24"/>
              </w:rPr>
            </w:pPr>
            <w:r>
              <w:rPr>
                <w:rFonts w:hint="eastAsia" w:cs="仿宋_GB2312" w:asciiTheme="minorEastAsia" w:hAnsiTheme="minorEastAsia"/>
                <w:color w:val="333333"/>
                <w:kern w:val="0"/>
                <w:sz w:val="24"/>
                <w:szCs w:val="24"/>
              </w:rPr>
              <w:t>当事人已履行进货查验等义务，有充分证据证明其不知道所采购的食品不符合食品安全</w:t>
            </w:r>
            <w:r>
              <w:rPr>
                <w:rFonts w:hint="eastAsia" w:cs="仿宋_GB2312" w:asciiTheme="minorEastAsia" w:hAnsiTheme="minorEastAsia"/>
                <w:color w:val="333333"/>
                <w:kern w:val="0"/>
                <w:sz w:val="24"/>
                <w:szCs w:val="24"/>
                <w:lang w:val="en-US" w:eastAsia="zh-CN"/>
              </w:rPr>
              <w:t>国家</w:t>
            </w:r>
            <w:r>
              <w:rPr>
                <w:rFonts w:hint="eastAsia" w:cs="仿宋_GB2312" w:asciiTheme="minorEastAsia" w:hAnsiTheme="minorEastAsia"/>
                <w:color w:val="333333"/>
                <w:kern w:val="0"/>
                <w:sz w:val="24"/>
                <w:szCs w:val="24"/>
              </w:rPr>
              <w:t>标准，并能如实说明其进货来源的，依据《市场监督管理行政处罚程序规定》第二十条的规定，决定不予立案</w:t>
            </w:r>
            <w:r>
              <w:rPr>
                <w:rFonts w:hint="eastAsia" w:cs="仿宋_GB2312" w:asciiTheme="minorEastAsia" w:hAnsiTheme="minorEastAsia"/>
                <w:color w:val="333333"/>
                <w:kern w:val="0"/>
                <w:sz w:val="24"/>
                <w:szCs w:val="24"/>
                <w:lang w:eastAsia="zh-CN"/>
              </w:rPr>
              <w:t>。对涉案食品溯源继续下一步核查</w:t>
            </w:r>
            <w:r>
              <w:rPr>
                <w:rFonts w:hint="eastAsia" w:cs="仿宋_GB2312" w:asciiTheme="minorEastAsia" w:hAnsiTheme="minorEastAsia"/>
                <w:color w:val="333333"/>
                <w:kern w:val="0"/>
                <w:sz w:val="24"/>
                <w:szCs w:val="24"/>
              </w:rPr>
              <w:t>。</w:t>
            </w:r>
          </w:p>
        </w:tc>
      </w:tr>
      <w:tr w14:paraId="11277C0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327" w:hRule="atLeast"/>
          <w:jc w:val="center"/>
        </w:trPr>
        <w:tc>
          <w:tcPr>
            <w:tcW w:w="927" w:type="dxa"/>
            <w:tcBorders>
              <w:top w:val="outset" w:color="auto" w:sz="6" w:space="0"/>
              <w:left w:val="outset" w:color="auto" w:sz="6" w:space="0"/>
              <w:bottom w:val="outset" w:color="auto" w:sz="6" w:space="0"/>
              <w:right w:val="outset" w:color="auto" w:sz="6" w:space="0"/>
            </w:tcBorders>
            <w:shd w:val="clear" w:color="auto" w:fill="FFFFFF"/>
            <w:vAlign w:val="center"/>
          </w:tcPr>
          <w:p w14:paraId="0BC60EFC">
            <w:pPr>
              <w:widowControl/>
              <w:jc w:val="center"/>
              <w:rPr>
                <w:rFonts w:hint="eastAsia" w:cs="仿宋_GB2312" w:asciiTheme="minorEastAsia" w:hAnsiTheme="minorEastAsia"/>
                <w:color w:val="333333"/>
                <w:kern w:val="0"/>
                <w:sz w:val="24"/>
                <w:szCs w:val="24"/>
                <w:lang w:val="en-US" w:eastAsia="zh-CN"/>
              </w:rPr>
            </w:pPr>
            <w:r>
              <w:rPr>
                <w:rFonts w:hint="eastAsia" w:cs="仿宋_GB2312" w:asciiTheme="minorEastAsia" w:hAnsiTheme="minorEastAsia"/>
                <w:color w:val="333333"/>
                <w:kern w:val="0"/>
                <w:sz w:val="24"/>
                <w:szCs w:val="24"/>
              </w:rPr>
              <w:t>土豆</w:t>
            </w:r>
          </w:p>
        </w:tc>
        <w:tc>
          <w:tcPr>
            <w:tcW w:w="879" w:type="dxa"/>
            <w:tcBorders>
              <w:left w:val="outset" w:color="auto" w:sz="6" w:space="0"/>
              <w:right w:val="outset" w:color="auto" w:sz="6" w:space="0"/>
            </w:tcBorders>
            <w:shd w:val="clear" w:color="auto" w:fill="FFFFFF"/>
            <w:vAlign w:val="center"/>
          </w:tcPr>
          <w:p w14:paraId="1F3803C0">
            <w:pPr>
              <w:widowControl/>
              <w:jc w:val="center"/>
              <w:rPr>
                <w:rFonts w:hint="eastAsia" w:cs="仿宋_GB2312" w:asciiTheme="minorEastAsia" w:hAnsiTheme="minorEastAsia"/>
                <w:color w:val="333333"/>
                <w:kern w:val="0"/>
                <w:sz w:val="24"/>
                <w:szCs w:val="24"/>
                <w:lang w:eastAsia="zh-CN"/>
              </w:rPr>
            </w:pPr>
            <w:r>
              <w:rPr>
                <w:rFonts w:hint="eastAsia" w:cs="仿宋_GB2312" w:asciiTheme="minorEastAsia" w:hAnsiTheme="minorEastAsia"/>
                <w:color w:val="333333"/>
                <w:kern w:val="0"/>
                <w:sz w:val="24"/>
                <w:szCs w:val="24"/>
              </w:rPr>
              <w:t>岳阳市溪韵院子餐饮管理服务有限公司</w:t>
            </w:r>
          </w:p>
        </w:tc>
        <w:tc>
          <w:tcPr>
            <w:tcW w:w="624" w:type="dxa"/>
            <w:tcBorders>
              <w:left w:val="outset" w:color="auto" w:sz="6" w:space="0"/>
              <w:right w:val="outset" w:color="auto" w:sz="6" w:space="0"/>
            </w:tcBorders>
            <w:shd w:val="clear" w:color="auto" w:fill="FFFFFF"/>
            <w:vAlign w:val="center"/>
          </w:tcPr>
          <w:p w14:paraId="4FA84422">
            <w:pPr>
              <w:widowControl/>
              <w:jc w:val="center"/>
              <w:rPr>
                <w:rFonts w:hint="default" w:cs="仿宋_GB2312" w:asciiTheme="minorEastAsia" w:hAnsiTheme="minorEastAsia"/>
                <w:color w:val="333333"/>
                <w:kern w:val="0"/>
                <w:sz w:val="24"/>
                <w:szCs w:val="24"/>
                <w:lang w:val="en-US" w:eastAsia="zh-CN"/>
              </w:rPr>
            </w:pPr>
            <w:r>
              <w:rPr>
                <w:rFonts w:hint="eastAsia" w:cs="仿宋_GB2312" w:asciiTheme="minorEastAsia" w:hAnsiTheme="minorEastAsia"/>
                <w:color w:val="333333"/>
                <w:kern w:val="0"/>
                <w:sz w:val="24"/>
                <w:szCs w:val="24"/>
                <w:lang w:val="en-US" w:eastAsia="zh-CN"/>
              </w:rPr>
              <w:t>/</w:t>
            </w:r>
          </w:p>
        </w:tc>
        <w:tc>
          <w:tcPr>
            <w:tcW w:w="773" w:type="dxa"/>
            <w:tcBorders>
              <w:left w:val="outset" w:color="auto" w:sz="6" w:space="0"/>
              <w:right w:val="outset" w:color="auto" w:sz="6" w:space="0"/>
            </w:tcBorders>
            <w:shd w:val="clear" w:color="auto" w:fill="FFFFFF"/>
            <w:vAlign w:val="center"/>
          </w:tcPr>
          <w:p w14:paraId="141C2BEC">
            <w:pPr>
              <w:widowControl/>
              <w:jc w:val="center"/>
              <w:rPr>
                <w:rFonts w:hint="eastAsia" w:cs="仿宋_GB2312" w:asciiTheme="minorEastAsia" w:hAnsiTheme="minorEastAsia"/>
                <w:color w:val="333333"/>
                <w:kern w:val="0"/>
                <w:sz w:val="24"/>
                <w:szCs w:val="24"/>
              </w:rPr>
            </w:pPr>
            <w:r>
              <w:rPr>
                <w:rFonts w:hint="eastAsia" w:cs="仿宋_GB2312" w:asciiTheme="minorEastAsia" w:hAnsiTheme="minorEastAsia"/>
                <w:color w:val="333333"/>
                <w:kern w:val="0"/>
                <w:sz w:val="24"/>
                <w:szCs w:val="24"/>
              </w:rPr>
              <w:t>2026-07-17</w:t>
            </w:r>
          </w:p>
        </w:tc>
        <w:tc>
          <w:tcPr>
            <w:tcW w:w="2020" w:type="dxa"/>
            <w:tcBorders>
              <w:top w:val="outset" w:color="auto" w:sz="6" w:space="0"/>
              <w:left w:val="outset" w:color="auto" w:sz="6" w:space="0"/>
              <w:bottom w:val="outset" w:color="auto" w:sz="6" w:space="0"/>
              <w:right w:val="outset" w:color="auto" w:sz="6" w:space="0"/>
            </w:tcBorders>
            <w:shd w:val="clear" w:color="auto" w:fill="FFFFFF"/>
            <w:vAlign w:val="center"/>
          </w:tcPr>
          <w:p w14:paraId="3A86EB1A">
            <w:pPr>
              <w:widowControl/>
              <w:jc w:val="center"/>
              <w:rPr>
                <w:rFonts w:hint="eastAsia" w:cs="仿宋_GB2312" w:asciiTheme="minorEastAsia" w:hAnsiTheme="minorEastAsia"/>
                <w:color w:val="333333"/>
                <w:kern w:val="0"/>
                <w:sz w:val="24"/>
                <w:szCs w:val="24"/>
              </w:rPr>
            </w:pPr>
            <w:r>
              <w:rPr>
                <w:rFonts w:hint="eastAsia" w:cs="仿宋_GB2312" w:asciiTheme="minorEastAsia" w:hAnsiTheme="minorEastAsia"/>
                <w:color w:val="333333"/>
                <w:kern w:val="0"/>
                <w:sz w:val="24"/>
                <w:szCs w:val="24"/>
              </w:rPr>
              <w:t>4303260776829-S</w:t>
            </w:r>
          </w:p>
        </w:tc>
        <w:tc>
          <w:tcPr>
            <w:tcW w:w="1419" w:type="dxa"/>
            <w:tcBorders>
              <w:top w:val="outset" w:color="auto" w:sz="6" w:space="0"/>
              <w:left w:val="outset" w:color="auto" w:sz="6" w:space="0"/>
              <w:bottom w:val="outset" w:color="auto" w:sz="6" w:space="0"/>
              <w:right w:val="outset" w:color="auto" w:sz="6" w:space="0"/>
            </w:tcBorders>
            <w:shd w:val="clear" w:color="auto" w:fill="FFFFFF"/>
            <w:vAlign w:val="center"/>
          </w:tcPr>
          <w:p w14:paraId="35296268">
            <w:pPr>
              <w:widowControl/>
              <w:jc w:val="center"/>
              <w:rPr>
                <w:rFonts w:hint="eastAsia" w:cs="仿宋_GB2312" w:asciiTheme="minorEastAsia" w:hAnsiTheme="minorEastAsia"/>
                <w:color w:val="333333"/>
                <w:kern w:val="0"/>
                <w:sz w:val="24"/>
                <w:szCs w:val="24"/>
                <w:lang w:val="en-US" w:eastAsia="zh-CN"/>
              </w:rPr>
            </w:pPr>
            <w:r>
              <w:rPr>
                <w:rFonts w:hint="eastAsia" w:cs="仿宋_GB2312" w:asciiTheme="minorEastAsia" w:hAnsiTheme="minorEastAsia"/>
                <w:color w:val="333333"/>
                <w:kern w:val="0"/>
                <w:sz w:val="24"/>
                <w:szCs w:val="24"/>
              </w:rPr>
              <w:t>噻虫嗪</w:t>
            </w:r>
          </w:p>
        </w:tc>
        <w:tc>
          <w:tcPr>
            <w:tcW w:w="880" w:type="dxa"/>
            <w:tcBorders>
              <w:top w:val="outset" w:color="auto" w:sz="6" w:space="0"/>
              <w:left w:val="outset" w:color="auto" w:sz="6" w:space="0"/>
              <w:bottom w:val="outset" w:color="auto" w:sz="6" w:space="0"/>
              <w:right w:val="outset" w:color="auto" w:sz="6" w:space="0"/>
            </w:tcBorders>
            <w:shd w:val="clear" w:color="auto" w:fill="FFFFFF"/>
            <w:vAlign w:val="center"/>
          </w:tcPr>
          <w:p w14:paraId="34A4CD21">
            <w:pPr>
              <w:widowControl/>
              <w:jc w:val="center"/>
              <w:rPr>
                <w:rFonts w:hint="eastAsia" w:cs="仿宋_GB2312" w:asciiTheme="minorEastAsia" w:hAnsiTheme="minorEastAsia" w:eastAsiaTheme="minorEastAsia"/>
                <w:color w:val="333333"/>
                <w:kern w:val="2"/>
                <w:sz w:val="24"/>
                <w:szCs w:val="24"/>
                <w:lang w:val="en-US" w:eastAsia="zh-CN" w:bidi="ar-SA"/>
              </w:rPr>
            </w:pPr>
            <w:r>
              <w:rPr>
                <w:rFonts w:hint="eastAsia" w:cs="仿宋_GB2312" w:asciiTheme="minorEastAsia" w:hAnsiTheme="minorEastAsia"/>
                <w:color w:val="333333"/>
                <w:sz w:val="24"/>
                <w:szCs w:val="24"/>
              </w:rPr>
              <w:t>岳阳市市场监管综合行政执法支队云溪大队</w:t>
            </w:r>
          </w:p>
        </w:tc>
        <w:tc>
          <w:tcPr>
            <w:tcW w:w="2266" w:type="dxa"/>
            <w:tcBorders>
              <w:top w:val="outset" w:color="auto" w:sz="6" w:space="0"/>
              <w:left w:val="outset" w:color="auto" w:sz="6" w:space="0"/>
              <w:bottom w:val="outset" w:color="auto" w:sz="6" w:space="0"/>
              <w:right w:val="outset" w:color="auto" w:sz="6" w:space="0"/>
            </w:tcBorders>
            <w:shd w:val="clear" w:color="auto" w:fill="FFFFFF"/>
            <w:vAlign w:val="center"/>
          </w:tcPr>
          <w:p w14:paraId="46F9125F">
            <w:pPr>
              <w:widowControl/>
              <w:jc w:val="left"/>
              <w:rPr>
                <w:rFonts w:hint="eastAsia" w:cs="仿宋_GB2312" w:asciiTheme="minorEastAsia" w:hAnsiTheme="minorEastAsia" w:eastAsiaTheme="minorEastAsia"/>
                <w:color w:val="333333"/>
                <w:kern w:val="2"/>
                <w:sz w:val="24"/>
                <w:szCs w:val="24"/>
                <w:lang w:val="en-US" w:eastAsia="zh-CN" w:bidi="ar-SA"/>
              </w:rPr>
            </w:pPr>
            <w:r>
              <w:rPr>
                <w:rFonts w:hint="eastAsia" w:cs="仿宋_GB2312" w:asciiTheme="minorEastAsia" w:hAnsiTheme="minorEastAsia"/>
                <w:color w:val="333333"/>
                <w:kern w:val="0"/>
                <w:sz w:val="24"/>
                <w:szCs w:val="24"/>
              </w:rPr>
              <w:t>当事人已履行进货查验等义务，有充分证据证明其不知道所采购的食品不符合食品安全</w:t>
            </w:r>
            <w:r>
              <w:rPr>
                <w:rFonts w:hint="eastAsia" w:cs="仿宋_GB2312" w:asciiTheme="minorEastAsia" w:hAnsiTheme="minorEastAsia"/>
                <w:color w:val="333333"/>
                <w:kern w:val="0"/>
                <w:sz w:val="24"/>
                <w:szCs w:val="24"/>
                <w:lang w:val="en-US" w:eastAsia="zh-CN"/>
              </w:rPr>
              <w:t>国家</w:t>
            </w:r>
            <w:r>
              <w:rPr>
                <w:rFonts w:hint="eastAsia" w:cs="仿宋_GB2312" w:asciiTheme="minorEastAsia" w:hAnsiTheme="minorEastAsia"/>
                <w:color w:val="333333"/>
                <w:kern w:val="0"/>
                <w:sz w:val="24"/>
                <w:szCs w:val="24"/>
              </w:rPr>
              <w:t>标准，并能如实说明其进货来源的，依据《市场监督管理行政处罚程序规定》第二十条的规定，决定不予立案</w:t>
            </w:r>
            <w:r>
              <w:rPr>
                <w:rFonts w:hint="eastAsia" w:cs="仿宋_GB2312" w:asciiTheme="minorEastAsia" w:hAnsiTheme="minorEastAsia"/>
                <w:color w:val="333333"/>
                <w:kern w:val="0"/>
                <w:sz w:val="24"/>
                <w:szCs w:val="24"/>
                <w:lang w:eastAsia="zh-CN"/>
              </w:rPr>
              <w:t>。对涉案食品溯源继续下一步核查</w:t>
            </w:r>
            <w:r>
              <w:rPr>
                <w:rFonts w:hint="eastAsia" w:cs="仿宋_GB2312" w:asciiTheme="minorEastAsia" w:hAnsiTheme="minorEastAsia"/>
                <w:color w:val="333333"/>
                <w:kern w:val="0"/>
                <w:sz w:val="24"/>
                <w:szCs w:val="24"/>
              </w:rPr>
              <w:t>。</w:t>
            </w:r>
          </w:p>
        </w:tc>
      </w:tr>
    </w:tbl>
    <w:p w14:paraId="45EFEA17">
      <w:pPr>
        <w:pStyle w:val="4"/>
        <w:widowControl/>
        <w:shd w:val="clear" w:color="auto" w:fill="FFFFFF"/>
        <w:spacing w:beforeAutospacing="0" w:afterAutospacing="0" w:line="33" w:lineRule="atLeast"/>
        <w:jc w:val="both"/>
        <w:textAlignment w:val="center"/>
        <w:rPr>
          <w:rFonts w:cs="仿宋_GB2312" w:asciiTheme="minorEastAsia" w:hAnsiTheme="minorEastAsia"/>
          <w:color w:val="333333"/>
          <w:sz w:val="32"/>
          <w:szCs w:val="32"/>
          <w:shd w:val="clear" w:color="auto" w:fill="FFFFFF"/>
        </w:rPr>
      </w:pPr>
    </w:p>
    <w:p w14:paraId="3A25968B">
      <w:pPr>
        <w:pStyle w:val="4"/>
        <w:widowControl/>
        <w:shd w:val="clear" w:color="auto" w:fill="FFFFFF"/>
        <w:spacing w:beforeAutospacing="0" w:afterAutospacing="0" w:line="33" w:lineRule="atLeast"/>
        <w:jc w:val="both"/>
        <w:textAlignment w:val="center"/>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特此公示。</w:t>
      </w:r>
    </w:p>
    <w:p w14:paraId="394557C8">
      <w:pPr>
        <w:widowControl/>
        <w:shd w:val="clear" w:color="auto" w:fill="FFFFFF"/>
        <w:spacing w:line="33" w:lineRule="atLeast"/>
        <w:jc w:val="right"/>
        <w:rPr>
          <w:rFonts w:cs="仿宋_GB2312" w:asciiTheme="minorEastAsia" w:hAnsiTheme="minorEastAsia"/>
          <w:color w:val="333333"/>
          <w:kern w:val="0"/>
          <w:sz w:val="32"/>
          <w:szCs w:val="32"/>
          <w:shd w:val="clear" w:color="auto" w:fill="FFFFFF"/>
        </w:rPr>
      </w:pPr>
    </w:p>
    <w:p w14:paraId="357A5AEB">
      <w:pPr>
        <w:widowControl/>
        <w:shd w:val="clear" w:color="auto" w:fill="FFFFFF"/>
        <w:spacing w:line="33" w:lineRule="atLeast"/>
        <w:jc w:val="right"/>
        <w:rPr>
          <w:rFonts w:ascii="仿宋_GB2312" w:hAnsi="仿宋_GB2312" w:eastAsia="仿宋_GB2312" w:cs="仿宋_GB2312"/>
          <w:color w:val="333333"/>
          <w:kern w:val="0"/>
          <w:sz w:val="32"/>
          <w:szCs w:val="32"/>
          <w:shd w:val="clear" w:color="auto" w:fill="FFFFFF"/>
        </w:rPr>
      </w:pPr>
      <w:r>
        <w:rPr>
          <w:rFonts w:hint="eastAsia" w:ascii="仿宋_GB2312" w:hAnsi="仿宋_GB2312" w:eastAsia="仿宋_GB2312" w:cs="仿宋_GB2312"/>
          <w:color w:val="333333"/>
          <w:kern w:val="0"/>
          <w:sz w:val="32"/>
          <w:szCs w:val="32"/>
          <w:shd w:val="clear" w:color="auto" w:fill="FFFFFF"/>
        </w:rPr>
        <w:t xml:space="preserve">     </w:t>
      </w:r>
    </w:p>
    <w:p w14:paraId="632F0DF8"/>
    <w:sectPr>
      <w:pgSz w:w="11906" w:h="16838"/>
      <w:pgMar w:top="1531" w:right="1531" w:bottom="153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script"/>
    <w:pitch w:val="default"/>
    <w:sig w:usb0="A00002BF" w:usb1="184F6CFA" w:usb2="00000012" w:usb3="00000000" w:csb0="00040001" w:csb1="0000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KSOF7FC4CF2A">
    <w:panose1 w:val="020B0604020202020204"/>
    <w:charset w:val="00"/>
    <w:family w:val="auto"/>
    <w:pitch w:val="default"/>
    <w:sig w:usb0="00000001" w:usb1="00000000" w:usb2="00000000" w:usb3="00000000" w:csb0="0000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C2178B7"/>
    <w:rsid w:val="001A29A6"/>
    <w:rsid w:val="00346D7D"/>
    <w:rsid w:val="00431DC8"/>
    <w:rsid w:val="00433C70"/>
    <w:rsid w:val="00481D49"/>
    <w:rsid w:val="00485552"/>
    <w:rsid w:val="00605DC8"/>
    <w:rsid w:val="0067207B"/>
    <w:rsid w:val="0090049F"/>
    <w:rsid w:val="00970A1C"/>
    <w:rsid w:val="00AE118A"/>
    <w:rsid w:val="00AE23B3"/>
    <w:rsid w:val="00BB2268"/>
    <w:rsid w:val="00BE265A"/>
    <w:rsid w:val="00FA7E77"/>
    <w:rsid w:val="016573C5"/>
    <w:rsid w:val="035E7335"/>
    <w:rsid w:val="13BB3E6E"/>
    <w:rsid w:val="359333A6"/>
    <w:rsid w:val="39B46203"/>
    <w:rsid w:val="3C2178B7"/>
    <w:rsid w:val="4C6D4709"/>
    <w:rsid w:val="4E171CC2"/>
    <w:rsid w:val="5E127261"/>
    <w:rsid w:val="60C632EB"/>
    <w:rsid w:val="76FB072F"/>
    <w:rsid w:val="AD2D6C56"/>
    <w:rsid w:val="E7B7126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Autospacing="1" w:afterAutospacing="1"/>
      <w:jc w:val="left"/>
    </w:pPr>
    <w:rPr>
      <w:rFonts w:cs="Times New Roman"/>
      <w:kern w:val="0"/>
      <w:sz w:val="24"/>
    </w:rPr>
  </w:style>
  <w:style w:type="character" w:customStyle="1" w:styleId="7">
    <w:name w:val="页眉 Char"/>
    <w:basedOn w:val="6"/>
    <w:link w:val="3"/>
    <w:qFormat/>
    <w:uiPriority w:val="0"/>
    <w:rPr>
      <w:rFonts w:asciiTheme="minorHAnsi" w:hAnsiTheme="minorHAnsi" w:eastAsiaTheme="minorEastAsia" w:cstheme="minorBidi"/>
      <w:kern w:val="2"/>
      <w:sz w:val="18"/>
      <w:szCs w:val="18"/>
    </w:rPr>
  </w:style>
  <w:style w:type="character" w:customStyle="1" w:styleId="8">
    <w:name w:val="页脚 Char"/>
    <w:basedOn w:val="6"/>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Lenovo</Company>
  <Pages>2</Pages>
  <Words>562</Words>
  <Characters>606</Characters>
  <Lines>6</Lines>
  <Paragraphs>1</Paragraphs>
  <TotalTime>1</TotalTime>
  <ScaleCrop>false</ScaleCrop>
  <LinksUpToDate>false</LinksUpToDate>
  <CharactersWithSpaces>608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2025-07-09T09:31:00Z</dcterms:created>
  <dc:creator>夏夕空</dc:creator>
  <cp:lastModifiedBy>夏夕空</cp:lastModifiedBy>
  <cp:lastPrinted>2025-02-21T03:26:00Z</cp:lastPrinted>
  <dcterms:modified xsi:type="dcterms:W3CDTF">2026-09-28T06:57:20Z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B000F675D0714DD88FDD55E7E052E7F6_13</vt:lpwstr>
  </property>
  <property fmtid="{D5CDD505-2E9C-101B-9397-08002B2CF9AE}" pid="4" name="KSOTemplateDocerSaveRecord">
    <vt:lpwstr>eyJoZGlkIjoiMDljZDFmZTRkZDIyMThiNDEwODRhMGYyOWFhMWVkYjYiLCJ1c2VySWQiOiIzMzI0NzA1MzQifQ==</vt:lpwstr>
  </property>
</Properties>
</file>