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246"/>
        <w:gridCol w:w="2907"/>
        <w:gridCol w:w="1246"/>
        <w:gridCol w:w="2907"/>
      </w:tblGrid>
      <w:tr w14:paraId="0254E2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750" w:type="pct"/>
            <w:shd w:val="clear" w:color="auto" w:fill="auto"/>
            <w:vAlign w:val="center"/>
          </w:tcPr>
          <w:p w14:paraId="37B2BED6">
            <w:pPr>
              <w:keepNext w:val="0"/>
              <w:keepLines w:val="0"/>
              <w:widowControl/>
              <w:suppressLineNumbers w:val="0"/>
              <w:spacing w:before="0" w:beforeAutospacing="0" w:after="0" w:afterAutospacing="0"/>
              <w:ind w:left="0" w:right="0"/>
              <w:jc w:val="right"/>
              <w:rPr>
                <w:b/>
                <w:bCs/>
                <w:color w:val="333333"/>
              </w:rPr>
            </w:pPr>
            <w:r>
              <w:rPr>
                <w:rFonts w:ascii="宋体" w:hAnsi="宋体" w:eastAsia="宋体" w:cs="宋体"/>
                <w:b/>
                <w:bCs/>
                <w:color w:val="333333"/>
                <w:kern w:val="0"/>
                <w:sz w:val="24"/>
                <w:szCs w:val="24"/>
                <w:lang w:val="en-US" w:eastAsia="zh-CN" w:bidi="ar"/>
              </w:rPr>
              <w:t>索引号：</w:t>
            </w:r>
          </w:p>
        </w:tc>
        <w:tc>
          <w:tcPr>
            <w:tcW w:w="1750" w:type="pct"/>
            <w:shd w:val="clear" w:color="auto" w:fill="auto"/>
            <w:vAlign w:val="center"/>
          </w:tcPr>
          <w:p w14:paraId="5912269A">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lang w:val="en-US" w:eastAsia="zh-CN" w:bidi="ar"/>
              </w:rPr>
              <w:t>/202212-00093</w:t>
            </w:r>
          </w:p>
        </w:tc>
        <w:tc>
          <w:tcPr>
            <w:tcW w:w="750" w:type="pct"/>
            <w:shd w:val="clear" w:color="auto" w:fill="auto"/>
            <w:vAlign w:val="center"/>
          </w:tcPr>
          <w:p w14:paraId="307445DE">
            <w:pPr>
              <w:keepNext w:val="0"/>
              <w:keepLines w:val="0"/>
              <w:widowControl/>
              <w:suppressLineNumbers w:val="0"/>
              <w:spacing w:before="0" w:beforeAutospacing="0" w:after="0" w:afterAutospacing="0"/>
              <w:ind w:left="0" w:right="0"/>
              <w:jc w:val="right"/>
              <w:rPr>
                <w:b/>
                <w:bCs/>
                <w:color w:val="333333"/>
              </w:rPr>
            </w:pPr>
            <w:r>
              <w:rPr>
                <w:rFonts w:ascii="宋体" w:hAnsi="宋体" w:eastAsia="宋体" w:cs="宋体"/>
                <w:b/>
                <w:bCs/>
                <w:color w:val="333333"/>
                <w:kern w:val="0"/>
                <w:sz w:val="24"/>
                <w:szCs w:val="24"/>
                <w:lang w:val="en-US" w:eastAsia="zh-CN" w:bidi="ar"/>
              </w:rPr>
              <w:t>信息分类：</w:t>
            </w:r>
          </w:p>
        </w:tc>
        <w:tc>
          <w:tcPr>
            <w:tcW w:w="1750" w:type="pct"/>
            <w:shd w:val="clear" w:color="auto" w:fill="auto"/>
            <w:vAlign w:val="center"/>
          </w:tcPr>
          <w:p w14:paraId="35D5258A">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lang w:val="en-US" w:eastAsia="zh-CN" w:bidi="ar"/>
              </w:rPr>
              <w:t>文化、广电、新闻出版</w:t>
            </w:r>
          </w:p>
        </w:tc>
      </w:tr>
      <w:tr w14:paraId="63C087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1750" w:type="dxa"/>
            <w:shd w:val="clear" w:color="auto" w:fill="auto"/>
            <w:vAlign w:val="center"/>
          </w:tcPr>
          <w:p w14:paraId="4F336B61">
            <w:pPr>
              <w:keepNext w:val="0"/>
              <w:keepLines w:val="0"/>
              <w:widowControl/>
              <w:suppressLineNumbers w:val="0"/>
              <w:spacing w:before="0" w:beforeAutospacing="0" w:after="0" w:afterAutospacing="0"/>
              <w:ind w:left="0" w:right="0"/>
              <w:jc w:val="right"/>
              <w:rPr>
                <w:b/>
                <w:bCs/>
                <w:color w:val="333333"/>
              </w:rPr>
            </w:pPr>
            <w:r>
              <w:rPr>
                <w:rFonts w:ascii="宋体" w:hAnsi="宋体" w:eastAsia="宋体" w:cs="宋体"/>
                <w:b/>
                <w:bCs/>
                <w:color w:val="333333"/>
                <w:kern w:val="0"/>
                <w:sz w:val="24"/>
                <w:szCs w:val="24"/>
                <w:lang w:val="en-US" w:eastAsia="zh-CN" w:bidi="ar"/>
              </w:rPr>
              <w:t>内容分类：</w:t>
            </w:r>
          </w:p>
        </w:tc>
        <w:tc>
          <w:tcPr>
            <w:tcW w:w="4500" w:type="dxa"/>
            <w:shd w:val="clear" w:color="auto" w:fill="auto"/>
            <w:vAlign w:val="center"/>
          </w:tcPr>
          <w:p w14:paraId="38DCB608">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lang w:val="en-US" w:eastAsia="zh-CN" w:bidi="ar"/>
              </w:rPr>
              <w:t>法律、行政法规、部门规章</w:t>
            </w:r>
          </w:p>
        </w:tc>
        <w:tc>
          <w:tcPr>
            <w:tcW w:w="1750" w:type="dxa"/>
            <w:shd w:val="clear" w:color="auto" w:fill="auto"/>
            <w:vAlign w:val="center"/>
          </w:tcPr>
          <w:p w14:paraId="4965563D">
            <w:pPr>
              <w:keepNext w:val="0"/>
              <w:keepLines w:val="0"/>
              <w:widowControl/>
              <w:suppressLineNumbers w:val="0"/>
              <w:spacing w:before="0" w:beforeAutospacing="0" w:after="0" w:afterAutospacing="0"/>
              <w:ind w:left="0" w:right="0"/>
              <w:jc w:val="right"/>
              <w:rPr>
                <w:b/>
                <w:bCs/>
                <w:color w:val="333333"/>
              </w:rPr>
            </w:pPr>
            <w:r>
              <w:rPr>
                <w:rFonts w:ascii="宋体" w:hAnsi="宋体" w:eastAsia="宋体" w:cs="宋体"/>
                <w:b/>
                <w:bCs/>
                <w:color w:val="333333"/>
                <w:kern w:val="0"/>
                <w:sz w:val="24"/>
                <w:szCs w:val="24"/>
                <w:lang w:val="en-US" w:eastAsia="zh-CN" w:bidi="ar"/>
              </w:rPr>
              <w:t>发文日期：</w:t>
            </w:r>
          </w:p>
        </w:tc>
        <w:tc>
          <w:tcPr>
            <w:tcW w:w="4500" w:type="dxa"/>
            <w:shd w:val="clear" w:color="auto" w:fill="auto"/>
            <w:vAlign w:val="center"/>
          </w:tcPr>
          <w:p w14:paraId="60C508E8">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lang w:val="en-US" w:eastAsia="zh-CN" w:bidi="ar"/>
              </w:rPr>
              <w:t>2024-01-09 09:40:52</w:t>
            </w:r>
          </w:p>
        </w:tc>
      </w:tr>
      <w:tr w14:paraId="68AC1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1750" w:type="dxa"/>
            <w:shd w:val="clear" w:color="auto" w:fill="auto"/>
            <w:vAlign w:val="center"/>
          </w:tcPr>
          <w:p w14:paraId="46C4D529">
            <w:pPr>
              <w:keepNext w:val="0"/>
              <w:keepLines w:val="0"/>
              <w:widowControl/>
              <w:suppressLineNumbers w:val="0"/>
              <w:spacing w:before="0" w:beforeAutospacing="0" w:after="0" w:afterAutospacing="0"/>
              <w:ind w:left="0" w:right="0"/>
              <w:jc w:val="right"/>
              <w:rPr>
                <w:b/>
                <w:bCs/>
                <w:color w:val="333333"/>
              </w:rPr>
            </w:pPr>
            <w:r>
              <w:rPr>
                <w:rFonts w:ascii="宋体" w:hAnsi="宋体" w:eastAsia="宋体" w:cs="宋体"/>
                <w:b/>
                <w:bCs/>
                <w:color w:val="333333"/>
                <w:kern w:val="0"/>
                <w:sz w:val="24"/>
                <w:szCs w:val="24"/>
                <w:lang w:val="en-US" w:eastAsia="zh-CN" w:bidi="ar"/>
              </w:rPr>
              <w:t>发布机构：</w:t>
            </w:r>
          </w:p>
        </w:tc>
        <w:tc>
          <w:tcPr>
            <w:tcW w:w="4500" w:type="dxa"/>
            <w:shd w:val="clear" w:color="auto" w:fill="auto"/>
            <w:vAlign w:val="center"/>
          </w:tcPr>
          <w:p w14:paraId="34954B55">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lang w:val="en-US" w:eastAsia="zh-CN" w:bidi="ar"/>
              </w:rPr>
              <w:t>金安区</w:t>
            </w:r>
          </w:p>
        </w:tc>
        <w:tc>
          <w:tcPr>
            <w:tcW w:w="1750" w:type="dxa"/>
            <w:shd w:val="clear" w:color="auto" w:fill="auto"/>
            <w:vAlign w:val="center"/>
          </w:tcPr>
          <w:p w14:paraId="528F39D4">
            <w:pPr>
              <w:keepNext w:val="0"/>
              <w:keepLines w:val="0"/>
              <w:widowControl/>
              <w:suppressLineNumbers w:val="0"/>
              <w:spacing w:before="0" w:beforeAutospacing="0" w:after="0" w:afterAutospacing="0"/>
              <w:ind w:left="0" w:right="0"/>
              <w:jc w:val="right"/>
              <w:rPr>
                <w:b/>
                <w:bCs/>
                <w:color w:val="333333"/>
              </w:rPr>
            </w:pPr>
            <w:r>
              <w:rPr>
                <w:rFonts w:ascii="宋体" w:hAnsi="宋体" w:eastAsia="宋体" w:cs="宋体"/>
                <w:b/>
                <w:bCs/>
                <w:color w:val="333333"/>
                <w:kern w:val="0"/>
                <w:sz w:val="24"/>
                <w:szCs w:val="24"/>
                <w:lang w:val="en-US" w:eastAsia="zh-CN" w:bidi="ar"/>
              </w:rPr>
              <w:t>生成日期：</w:t>
            </w:r>
          </w:p>
        </w:tc>
        <w:tc>
          <w:tcPr>
            <w:tcW w:w="4500" w:type="dxa"/>
            <w:shd w:val="clear" w:color="auto" w:fill="auto"/>
            <w:vAlign w:val="center"/>
          </w:tcPr>
          <w:p w14:paraId="2587A576">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lang w:val="en-US" w:eastAsia="zh-CN" w:bidi="ar"/>
              </w:rPr>
              <w:t>2024-01-09 09:40:52</w:t>
            </w:r>
          </w:p>
        </w:tc>
      </w:tr>
      <w:tr w14:paraId="6BEA9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1750" w:type="dxa"/>
            <w:shd w:val="clear" w:color="auto" w:fill="auto"/>
            <w:vAlign w:val="center"/>
          </w:tcPr>
          <w:p w14:paraId="1A5BEEA4">
            <w:pPr>
              <w:keepNext w:val="0"/>
              <w:keepLines w:val="0"/>
              <w:widowControl/>
              <w:suppressLineNumbers w:val="0"/>
              <w:spacing w:before="0" w:beforeAutospacing="0" w:after="0" w:afterAutospacing="0"/>
              <w:ind w:left="0" w:right="0"/>
              <w:jc w:val="right"/>
              <w:rPr>
                <w:b/>
                <w:bCs/>
                <w:color w:val="333333"/>
              </w:rPr>
            </w:pPr>
            <w:r>
              <w:rPr>
                <w:rFonts w:ascii="宋体" w:hAnsi="宋体" w:eastAsia="宋体" w:cs="宋体"/>
                <w:b/>
                <w:bCs/>
                <w:color w:val="333333"/>
                <w:kern w:val="0"/>
                <w:sz w:val="24"/>
                <w:szCs w:val="24"/>
                <w:lang w:val="en-US" w:eastAsia="zh-CN" w:bidi="ar"/>
              </w:rPr>
              <w:t>来源单位：</w:t>
            </w:r>
          </w:p>
        </w:tc>
        <w:tc>
          <w:tcPr>
            <w:tcW w:w="4500" w:type="dxa"/>
            <w:gridSpan w:val="3"/>
            <w:shd w:val="clear" w:color="auto" w:fill="auto"/>
            <w:vAlign w:val="center"/>
          </w:tcPr>
          <w:p w14:paraId="0F65DBF5">
            <w:pPr>
              <w:jc w:val="left"/>
              <w:rPr>
                <w:rFonts w:hint="eastAsia" w:ascii="宋体"/>
                <w:sz w:val="24"/>
                <w:szCs w:val="24"/>
              </w:rPr>
            </w:pPr>
          </w:p>
        </w:tc>
      </w:tr>
      <w:tr w14:paraId="6E360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1750" w:type="dxa"/>
            <w:shd w:val="clear" w:color="auto" w:fill="auto"/>
            <w:vAlign w:val="center"/>
          </w:tcPr>
          <w:p w14:paraId="6964BF94">
            <w:pPr>
              <w:keepNext w:val="0"/>
              <w:keepLines w:val="0"/>
              <w:widowControl/>
              <w:suppressLineNumbers w:val="0"/>
              <w:spacing w:before="0" w:beforeAutospacing="0" w:after="0" w:afterAutospacing="0"/>
              <w:ind w:left="0" w:right="0"/>
              <w:jc w:val="right"/>
              <w:rPr>
                <w:b/>
                <w:bCs/>
                <w:color w:val="333333"/>
              </w:rPr>
            </w:pPr>
            <w:r>
              <w:rPr>
                <w:rFonts w:ascii="宋体" w:hAnsi="宋体" w:eastAsia="宋体" w:cs="宋体"/>
                <w:b/>
                <w:bCs/>
                <w:color w:val="333333"/>
                <w:kern w:val="0"/>
                <w:sz w:val="24"/>
                <w:szCs w:val="24"/>
                <w:lang w:val="en-US" w:eastAsia="zh-CN" w:bidi="ar"/>
              </w:rPr>
              <w:t>生效时间：</w:t>
            </w:r>
          </w:p>
        </w:tc>
        <w:tc>
          <w:tcPr>
            <w:tcW w:w="4500" w:type="dxa"/>
            <w:shd w:val="clear" w:color="auto" w:fill="auto"/>
            <w:vAlign w:val="center"/>
          </w:tcPr>
          <w:p w14:paraId="74397DED">
            <w:pPr>
              <w:jc w:val="left"/>
              <w:rPr>
                <w:rFonts w:hint="eastAsia" w:ascii="宋体"/>
                <w:sz w:val="24"/>
                <w:szCs w:val="24"/>
              </w:rPr>
            </w:pPr>
          </w:p>
        </w:tc>
        <w:tc>
          <w:tcPr>
            <w:tcW w:w="1750" w:type="dxa"/>
            <w:shd w:val="clear" w:color="auto" w:fill="auto"/>
            <w:vAlign w:val="center"/>
          </w:tcPr>
          <w:p w14:paraId="74E4E92C">
            <w:pPr>
              <w:keepNext w:val="0"/>
              <w:keepLines w:val="0"/>
              <w:widowControl/>
              <w:suppressLineNumbers w:val="0"/>
              <w:spacing w:before="0" w:beforeAutospacing="0" w:after="0" w:afterAutospacing="0"/>
              <w:ind w:left="0" w:right="0"/>
              <w:jc w:val="right"/>
              <w:rPr>
                <w:b/>
                <w:bCs/>
                <w:color w:val="333333"/>
              </w:rPr>
            </w:pPr>
            <w:r>
              <w:rPr>
                <w:rFonts w:ascii="宋体" w:hAnsi="宋体" w:eastAsia="宋体" w:cs="宋体"/>
                <w:b/>
                <w:bCs/>
                <w:color w:val="333333"/>
                <w:kern w:val="0"/>
                <w:sz w:val="24"/>
                <w:szCs w:val="24"/>
                <w:lang w:val="en-US" w:eastAsia="zh-CN" w:bidi="ar"/>
              </w:rPr>
              <w:t>废止时间：</w:t>
            </w:r>
          </w:p>
        </w:tc>
        <w:tc>
          <w:tcPr>
            <w:tcW w:w="4500" w:type="dxa"/>
            <w:shd w:val="clear" w:color="auto" w:fill="auto"/>
            <w:vAlign w:val="center"/>
          </w:tcPr>
          <w:p w14:paraId="12AB378D">
            <w:pPr>
              <w:jc w:val="left"/>
              <w:rPr>
                <w:rFonts w:hint="eastAsia" w:ascii="宋体"/>
                <w:sz w:val="24"/>
                <w:szCs w:val="24"/>
              </w:rPr>
            </w:pPr>
          </w:p>
        </w:tc>
      </w:tr>
      <w:tr w14:paraId="2A4AB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1750" w:type="dxa"/>
            <w:shd w:val="clear" w:color="auto" w:fill="auto"/>
            <w:vAlign w:val="center"/>
          </w:tcPr>
          <w:p w14:paraId="2DA7B5B2">
            <w:pPr>
              <w:keepNext w:val="0"/>
              <w:keepLines w:val="0"/>
              <w:widowControl/>
              <w:suppressLineNumbers w:val="0"/>
              <w:spacing w:before="0" w:beforeAutospacing="0" w:after="0" w:afterAutospacing="0"/>
              <w:ind w:left="0" w:right="0"/>
              <w:jc w:val="right"/>
              <w:rPr>
                <w:b/>
                <w:bCs/>
                <w:color w:val="333333"/>
              </w:rPr>
            </w:pPr>
            <w:r>
              <w:rPr>
                <w:rFonts w:ascii="宋体" w:hAnsi="宋体" w:eastAsia="宋体" w:cs="宋体"/>
                <w:b/>
                <w:bCs/>
                <w:color w:val="333333"/>
                <w:kern w:val="0"/>
                <w:sz w:val="24"/>
                <w:szCs w:val="24"/>
                <w:lang w:val="en-US" w:eastAsia="zh-CN" w:bidi="ar"/>
              </w:rPr>
              <w:t>名  称：</w:t>
            </w:r>
          </w:p>
        </w:tc>
        <w:tc>
          <w:tcPr>
            <w:tcW w:w="4500" w:type="dxa"/>
            <w:gridSpan w:val="3"/>
            <w:shd w:val="clear" w:color="auto" w:fill="auto"/>
            <w:vAlign w:val="center"/>
          </w:tcPr>
          <w:p w14:paraId="2BD3BACC">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lang w:val="en-US" w:eastAsia="zh-CN" w:bidi="ar"/>
              </w:rPr>
              <w:t>【法律 法规】国家广播电视总局关于广播电视和网络视听文艺节目管理规定</w:t>
            </w:r>
          </w:p>
        </w:tc>
      </w:tr>
      <w:tr w14:paraId="11764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1750" w:type="dxa"/>
            <w:shd w:val="clear" w:color="auto" w:fill="auto"/>
            <w:vAlign w:val="center"/>
          </w:tcPr>
          <w:p w14:paraId="19B6FD13">
            <w:pPr>
              <w:keepNext w:val="0"/>
              <w:keepLines w:val="0"/>
              <w:widowControl/>
              <w:suppressLineNumbers w:val="0"/>
              <w:spacing w:before="0" w:beforeAutospacing="0" w:after="0" w:afterAutospacing="0"/>
              <w:ind w:left="0" w:right="0"/>
              <w:jc w:val="right"/>
              <w:rPr>
                <w:b/>
                <w:bCs/>
                <w:color w:val="333333"/>
              </w:rPr>
            </w:pPr>
            <w:r>
              <w:rPr>
                <w:rFonts w:ascii="宋体" w:hAnsi="宋体" w:eastAsia="宋体" w:cs="宋体"/>
                <w:b/>
                <w:bCs/>
                <w:color w:val="333333"/>
                <w:kern w:val="0"/>
                <w:sz w:val="24"/>
                <w:szCs w:val="24"/>
                <w:lang w:val="en-US" w:eastAsia="zh-CN" w:bidi="ar"/>
              </w:rPr>
              <w:t>文  号：</w:t>
            </w:r>
          </w:p>
        </w:tc>
        <w:tc>
          <w:tcPr>
            <w:tcW w:w="4500" w:type="dxa"/>
            <w:shd w:val="clear" w:color="auto" w:fill="auto"/>
            <w:vAlign w:val="center"/>
          </w:tcPr>
          <w:p w14:paraId="03A04C69">
            <w:pPr>
              <w:jc w:val="left"/>
              <w:rPr>
                <w:rFonts w:hint="eastAsia" w:ascii="宋体"/>
                <w:sz w:val="24"/>
                <w:szCs w:val="24"/>
              </w:rPr>
            </w:pPr>
          </w:p>
        </w:tc>
        <w:tc>
          <w:tcPr>
            <w:tcW w:w="1750" w:type="dxa"/>
            <w:shd w:val="clear" w:color="auto" w:fill="auto"/>
            <w:vAlign w:val="center"/>
          </w:tcPr>
          <w:p w14:paraId="3199BB4D">
            <w:pPr>
              <w:keepNext w:val="0"/>
              <w:keepLines w:val="0"/>
              <w:widowControl/>
              <w:suppressLineNumbers w:val="0"/>
              <w:spacing w:before="0" w:beforeAutospacing="0" w:after="0" w:afterAutospacing="0"/>
              <w:ind w:left="0" w:right="0"/>
              <w:jc w:val="right"/>
              <w:rPr>
                <w:b/>
                <w:bCs/>
                <w:color w:val="333333"/>
              </w:rPr>
            </w:pPr>
            <w:r>
              <w:rPr>
                <w:rFonts w:ascii="宋体" w:hAnsi="宋体" w:eastAsia="宋体" w:cs="宋体"/>
                <w:b/>
                <w:bCs/>
                <w:color w:val="333333"/>
                <w:kern w:val="0"/>
                <w:sz w:val="24"/>
                <w:szCs w:val="24"/>
                <w:lang w:val="en-US" w:eastAsia="zh-CN" w:bidi="ar"/>
              </w:rPr>
              <w:t>关键词：</w:t>
            </w:r>
          </w:p>
        </w:tc>
        <w:tc>
          <w:tcPr>
            <w:tcW w:w="4500" w:type="dxa"/>
            <w:shd w:val="clear" w:color="auto" w:fill="auto"/>
            <w:vAlign w:val="center"/>
          </w:tcPr>
          <w:p w14:paraId="08773B2A">
            <w:pPr>
              <w:jc w:val="left"/>
              <w:rPr>
                <w:rFonts w:hint="eastAsia" w:ascii="宋体"/>
                <w:sz w:val="24"/>
                <w:szCs w:val="24"/>
              </w:rPr>
            </w:pPr>
          </w:p>
        </w:tc>
      </w:tr>
    </w:tbl>
    <w:p w14:paraId="1DFF1A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b/>
          <w:bCs/>
          <w:sz w:val="32"/>
          <w:szCs w:val="32"/>
        </w:rPr>
      </w:pPr>
      <w:r>
        <w:rPr>
          <w:b/>
          <w:bCs/>
          <w:sz w:val="32"/>
          <w:szCs w:val="32"/>
        </w:rPr>
        <w:t>【法律 法规】国家广播电视总局关于广播电视和网络视听文艺节目管理规定</w:t>
      </w:r>
    </w:p>
    <w:p w14:paraId="42CD3A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color w:val="999999"/>
          <w:sz w:val="14"/>
          <w:szCs w:val="14"/>
        </w:rPr>
      </w:pPr>
      <w:r>
        <w:rPr>
          <w:rFonts w:ascii="宋体" w:hAnsi="宋体" w:eastAsia="宋体" w:cs="宋体"/>
          <w:color w:val="999999"/>
          <w:kern w:val="0"/>
          <w:sz w:val="14"/>
          <w:szCs w:val="14"/>
          <w:lang w:val="en-US" w:eastAsia="zh-CN" w:bidi="ar"/>
        </w:rPr>
        <w:t>2024-01-09 09:40文字大小：[ </w:t>
      </w:r>
      <w:r>
        <w:rPr>
          <w:rFonts w:ascii="宋体" w:hAnsi="宋体" w:eastAsia="宋体" w:cs="宋体"/>
          <w:color w:val="999999"/>
          <w:kern w:val="0"/>
          <w:sz w:val="14"/>
          <w:szCs w:val="14"/>
          <w:u w:val="single"/>
          <w:lang w:val="en-US" w:eastAsia="zh-CN" w:bidi="ar"/>
        </w:rPr>
        <w:fldChar w:fldCharType="begin"/>
      </w:r>
      <w:r>
        <w:rPr>
          <w:rFonts w:ascii="宋体" w:hAnsi="宋体" w:eastAsia="宋体" w:cs="宋体"/>
          <w:color w:val="999999"/>
          <w:kern w:val="0"/>
          <w:sz w:val="14"/>
          <w:szCs w:val="14"/>
          <w:u w:val="single"/>
          <w:lang w:val="en-US" w:eastAsia="zh-CN" w:bidi="ar"/>
        </w:rPr>
        <w:instrText xml:space="preserve"> HYPERLINK "javascript:void(0)" </w:instrText>
      </w:r>
      <w:r>
        <w:rPr>
          <w:rFonts w:ascii="宋体" w:hAnsi="宋体" w:eastAsia="宋体" w:cs="宋体"/>
          <w:color w:val="999999"/>
          <w:kern w:val="0"/>
          <w:sz w:val="14"/>
          <w:szCs w:val="14"/>
          <w:u w:val="single"/>
          <w:lang w:val="en-US" w:eastAsia="zh-CN" w:bidi="ar"/>
        </w:rPr>
        <w:fldChar w:fldCharType="separate"/>
      </w:r>
      <w:r>
        <w:rPr>
          <w:rStyle w:val="7"/>
          <w:rFonts w:ascii="宋体" w:hAnsi="宋体" w:eastAsia="宋体" w:cs="宋体"/>
          <w:color w:val="999999"/>
          <w:sz w:val="14"/>
          <w:szCs w:val="14"/>
          <w:u w:val="single"/>
        </w:rPr>
        <w:t>大</w:t>
      </w:r>
      <w:r>
        <w:rPr>
          <w:rFonts w:ascii="宋体" w:hAnsi="宋体" w:eastAsia="宋体" w:cs="宋体"/>
          <w:color w:val="999999"/>
          <w:kern w:val="0"/>
          <w:sz w:val="14"/>
          <w:szCs w:val="14"/>
          <w:u w:val="single"/>
          <w:lang w:val="en-US" w:eastAsia="zh-CN" w:bidi="ar"/>
        </w:rPr>
        <w:fldChar w:fldCharType="end"/>
      </w:r>
      <w:r>
        <w:rPr>
          <w:rFonts w:ascii="宋体" w:hAnsi="宋体" w:eastAsia="宋体" w:cs="宋体"/>
          <w:color w:val="999999"/>
          <w:kern w:val="0"/>
          <w:sz w:val="14"/>
          <w:szCs w:val="14"/>
          <w:lang w:val="en-US" w:eastAsia="zh-CN" w:bidi="ar"/>
        </w:rPr>
        <w:t> </w:t>
      </w:r>
      <w:r>
        <w:rPr>
          <w:rFonts w:ascii="宋体" w:hAnsi="宋体" w:eastAsia="宋体" w:cs="宋体"/>
          <w:color w:val="999999"/>
          <w:kern w:val="0"/>
          <w:sz w:val="14"/>
          <w:szCs w:val="14"/>
          <w:u w:val="single"/>
          <w:lang w:val="en-US" w:eastAsia="zh-CN" w:bidi="ar"/>
        </w:rPr>
        <w:fldChar w:fldCharType="begin"/>
      </w:r>
      <w:r>
        <w:rPr>
          <w:rFonts w:ascii="宋体" w:hAnsi="宋体" w:eastAsia="宋体" w:cs="宋体"/>
          <w:color w:val="999999"/>
          <w:kern w:val="0"/>
          <w:sz w:val="14"/>
          <w:szCs w:val="14"/>
          <w:u w:val="single"/>
          <w:lang w:val="en-US" w:eastAsia="zh-CN" w:bidi="ar"/>
        </w:rPr>
        <w:instrText xml:space="preserve"> HYPERLINK "javascript:void(0)" </w:instrText>
      </w:r>
      <w:r>
        <w:rPr>
          <w:rFonts w:ascii="宋体" w:hAnsi="宋体" w:eastAsia="宋体" w:cs="宋体"/>
          <w:color w:val="999999"/>
          <w:kern w:val="0"/>
          <w:sz w:val="14"/>
          <w:szCs w:val="14"/>
          <w:u w:val="single"/>
          <w:lang w:val="en-US" w:eastAsia="zh-CN" w:bidi="ar"/>
        </w:rPr>
        <w:fldChar w:fldCharType="separate"/>
      </w:r>
      <w:r>
        <w:rPr>
          <w:rStyle w:val="7"/>
          <w:rFonts w:ascii="宋体" w:hAnsi="宋体" w:eastAsia="宋体" w:cs="宋体"/>
          <w:color w:val="999999"/>
          <w:sz w:val="14"/>
          <w:szCs w:val="14"/>
          <w:u w:val="single"/>
        </w:rPr>
        <w:t>中</w:t>
      </w:r>
      <w:r>
        <w:rPr>
          <w:rFonts w:ascii="宋体" w:hAnsi="宋体" w:eastAsia="宋体" w:cs="宋体"/>
          <w:color w:val="999999"/>
          <w:kern w:val="0"/>
          <w:sz w:val="14"/>
          <w:szCs w:val="14"/>
          <w:u w:val="single"/>
          <w:lang w:val="en-US" w:eastAsia="zh-CN" w:bidi="ar"/>
        </w:rPr>
        <w:fldChar w:fldCharType="end"/>
      </w:r>
      <w:r>
        <w:rPr>
          <w:rFonts w:ascii="宋体" w:hAnsi="宋体" w:eastAsia="宋体" w:cs="宋体"/>
          <w:color w:val="999999"/>
          <w:kern w:val="0"/>
          <w:sz w:val="14"/>
          <w:szCs w:val="14"/>
          <w:lang w:val="en-US" w:eastAsia="zh-CN" w:bidi="ar"/>
        </w:rPr>
        <w:t> </w:t>
      </w:r>
      <w:r>
        <w:rPr>
          <w:rFonts w:ascii="宋体" w:hAnsi="宋体" w:eastAsia="宋体" w:cs="宋体"/>
          <w:color w:val="999999"/>
          <w:kern w:val="0"/>
          <w:sz w:val="14"/>
          <w:szCs w:val="14"/>
          <w:u w:val="single"/>
          <w:lang w:val="en-US" w:eastAsia="zh-CN" w:bidi="ar"/>
        </w:rPr>
        <w:fldChar w:fldCharType="begin"/>
      </w:r>
      <w:r>
        <w:rPr>
          <w:rFonts w:ascii="宋体" w:hAnsi="宋体" w:eastAsia="宋体" w:cs="宋体"/>
          <w:color w:val="999999"/>
          <w:kern w:val="0"/>
          <w:sz w:val="14"/>
          <w:szCs w:val="14"/>
          <w:u w:val="single"/>
          <w:lang w:val="en-US" w:eastAsia="zh-CN" w:bidi="ar"/>
        </w:rPr>
        <w:instrText xml:space="preserve"> HYPERLINK "javascript:void(0)" </w:instrText>
      </w:r>
      <w:r>
        <w:rPr>
          <w:rFonts w:ascii="宋体" w:hAnsi="宋体" w:eastAsia="宋体" w:cs="宋体"/>
          <w:color w:val="999999"/>
          <w:kern w:val="0"/>
          <w:sz w:val="14"/>
          <w:szCs w:val="14"/>
          <w:u w:val="single"/>
          <w:lang w:val="en-US" w:eastAsia="zh-CN" w:bidi="ar"/>
        </w:rPr>
        <w:fldChar w:fldCharType="separate"/>
      </w:r>
      <w:r>
        <w:rPr>
          <w:rStyle w:val="7"/>
          <w:rFonts w:ascii="宋体" w:hAnsi="宋体" w:eastAsia="宋体" w:cs="宋体"/>
          <w:color w:val="999999"/>
          <w:sz w:val="14"/>
          <w:szCs w:val="14"/>
          <w:u w:val="single"/>
        </w:rPr>
        <w:t>小</w:t>
      </w:r>
      <w:r>
        <w:rPr>
          <w:rFonts w:ascii="宋体" w:hAnsi="宋体" w:eastAsia="宋体" w:cs="宋体"/>
          <w:color w:val="999999"/>
          <w:kern w:val="0"/>
          <w:sz w:val="14"/>
          <w:szCs w:val="14"/>
          <w:u w:val="single"/>
          <w:lang w:val="en-US" w:eastAsia="zh-CN" w:bidi="ar"/>
        </w:rPr>
        <w:fldChar w:fldCharType="end"/>
      </w:r>
      <w:r>
        <w:rPr>
          <w:rFonts w:ascii="宋体" w:hAnsi="宋体" w:eastAsia="宋体" w:cs="宋体"/>
          <w:color w:val="999999"/>
          <w:kern w:val="0"/>
          <w:sz w:val="14"/>
          <w:szCs w:val="14"/>
          <w:lang w:val="en-US" w:eastAsia="zh-CN" w:bidi="ar"/>
        </w:rPr>
        <w:t> ]   背景色：       </w:t>
      </w:r>
    </w:p>
    <w:p w14:paraId="58232E3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both"/>
        <w:rPr>
          <w:rFonts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shd w:val="clear" w:fill="FFFFFF"/>
        </w:rPr>
        <w:t>各省、自治区、直辖市新闻出版广电局，新疆生产建设兵团新闻出版广电局，中央广播电视总台办公厅，中国教育电视台：</w:t>
      </w:r>
    </w:p>
    <w:p w14:paraId="2559EF0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shd w:val="clear" w:fill="FFFFFF"/>
        </w:rPr>
        <w:t>党的十八大以来，各广播电视播出机构和网络视听节目服务机构围绕中心、服务大局，积极创新创优，不断推出人民群众喜闻乐见的优秀节目，文艺创作呈现出良好态势。但是，一些文艺节目出现了影视明星过多、追星炒星、泛娱乐化、高价片酬、收视率（点击率）造假等问题，不仅推高制作成本、破坏行业秩序生态，而且误导青少年盲目追星，滋长拜金主义、一夜成名等错误价值观念，必须采取有效措施切实加以纠正。为确保广播电视和网络视听文艺节目健康有序发展，现就有关事项通知如下：</w:t>
      </w:r>
    </w:p>
    <w:p w14:paraId="27F169F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333333"/>
          <w:spacing w:val="0"/>
          <w:sz w:val="16"/>
          <w:szCs w:val="16"/>
          <w:u w:val="none"/>
        </w:rPr>
      </w:pPr>
      <w:r>
        <w:rPr>
          <w:rStyle w:val="6"/>
          <w:rFonts w:hint="eastAsia" w:ascii="微软雅黑" w:hAnsi="微软雅黑" w:eastAsia="微软雅黑" w:cs="微软雅黑"/>
          <w:b/>
          <w:bCs/>
          <w:i w:val="0"/>
          <w:iCs w:val="0"/>
          <w:caps w:val="0"/>
          <w:color w:val="333333"/>
          <w:spacing w:val="0"/>
          <w:sz w:val="16"/>
          <w:szCs w:val="16"/>
          <w:u w:val="none"/>
          <w:shd w:val="clear" w:fill="FFFFFF"/>
        </w:rPr>
        <w:t>一、牢牢把握正确的政治方向，强化价值引领。</w:t>
      </w:r>
      <w:r>
        <w:rPr>
          <w:rFonts w:hint="eastAsia" w:ascii="微软雅黑" w:hAnsi="微软雅黑" w:eastAsia="微软雅黑" w:cs="微软雅黑"/>
          <w:i w:val="0"/>
          <w:iCs w:val="0"/>
          <w:caps w:val="0"/>
          <w:color w:val="333333"/>
          <w:spacing w:val="0"/>
          <w:sz w:val="16"/>
          <w:szCs w:val="16"/>
          <w:u w:val="none"/>
          <w:shd w:val="clear" w:fill="FFFFFF"/>
        </w:rPr>
        <w:t>各广播电视播出机构、网络视听节目服务机构、节目制作机构要坚持以习近平新时代中国特色社会主义思想为指导，深入学习贯彻党的十九大精神和全国宣传思想工作会议精神，坚持政治家办台办网办节目，坚持“二为”方向、“双百”方针，着力营造清朗的文化环境和健康的精神空间，承担启迪思想、滋养心灵、涵育审美、成风化人的重要使命。广播电视和网络视听文艺节目要坚持讲品位、讲格调、讲责任，抵制低俗、庸俗、媚俗，大力弘扬社会主义核心价值观，传播正能量，坚守底线红线。各节目制作和传播机构要始终坚持把社会效益放在首位，力争社会效益与经济效益统一，当二者发生冲突时，经济效益要无条件服从社会效益，绝不能在市场经济大潮中迷失方向，绝不能做市场的奴隶，使作品充满铜臭气。</w:t>
      </w:r>
    </w:p>
    <w:p w14:paraId="3A01B26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333333"/>
          <w:spacing w:val="0"/>
          <w:sz w:val="16"/>
          <w:szCs w:val="16"/>
          <w:u w:val="none"/>
        </w:rPr>
      </w:pPr>
      <w:r>
        <w:rPr>
          <w:rStyle w:val="6"/>
          <w:rFonts w:hint="eastAsia" w:ascii="微软雅黑" w:hAnsi="微软雅黑" w:eastAsia="微软雅黑" w:cs="微软雅黑"/>
          <w:b/>
          <w:bCs/>
          <w:i w:val="0"/>
          <w:iCs w:val="0"/>
          <w:caps w:val="0"/>
          <w:color w:val="333333"/>
          <w:spacing w:val="0"/>
          <w:sz w:val="16"/>
          <w:szCs w:val="16"/>
          <w:u w:val="none"/>
          <w:shd w:val="clear" w:fill="FFFFFF"/>
        </w:rPr>
        <w:t>二、坚持以人民为中心的创作导向，坚决遏制追星炒星、泛娱乐化等不良倾向。</w:t>
      </w:r>
      <w:r>
        <w:rPr>
          <w:rFonts w:hint="eastAsia" w:ascii="微软雅黑" w:hAnsi="微软雅黑" w:eastAsia="微软雅黑" w:cs="微软雅黑"/>
          <w:i w:val="0"/>
          <w:iCs w:val="0"/>
          <w:caps w:val="0"/>
          <w:color w:val="333333"/>
          <w:spacing w:val="0"/>
          <w:sz w:val="16"/>
          <w:szCs w:val="16"/>
          <w:u w:val="none"/>
          <w:shd w:val="clear" w:fill="FFFFFF"/>
        </w:rPr>
        <w:t>各广播电视播出机构和网络视听节目服务机构要从讲政治的高度深刻认识追星炒星、泛娱乐化等问题的严重危害，坚决摒弃以明星为卖点、靠明星博眼球的错误做法，严格控制偶像养成类节目，严格控制影视明星子女参与的综艺娱乐和真人秀节目。各广播电视主管部门要进一步加强结构化管理和宏观调控，减少影视明星参与的娱乐游戏、真人秀、歌唱类选拔等节目播出量，积极扩大新闻、经济、文化、科教、生活服务、动画和少儿、纪录片、对农等公益节目播出量，制作播出更多富有时代气息、格调积极健康、具有文化内涵的原创节目。</w:t>
      </w:r>
    </w:p>
    <w:p w14:paraId="4206A5A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333333"/>
          <w:spacing w:val="0"/>
          <w:sz w:val="16"/>
          <w:szCs w:val="16"/>
          <w:u w:val="none"/>
        </w:rPr>
      </w:pPr>
      <w:r>
        <w:rPr>
          <w:rStyle w:val="6"/>
          <w:rFonts w:hint="eastAsia" w:ascii="微软雅黑" w:hAnsi="微软雅黑" w:eastAsia="微软雅黑" w:cs="微软雅黑"/>
          <w:b/>
          <w:bCs/>
          <w:i w:val="0"/>
          <w:iCs w:val="0"/>
          <w:caps w:val="0"/>
          <w:color w:val="333333"/>
          <w:spacing w:val="0"/>
          <w:sz w:val="16"/>
          <w:szCs w:val="16"/>
          <w:u w:val="none"/>
          <w:shd w:val="clear" w:fill="FFFFFF"/>
        </w:rPr>
        <w:t>三、鼓励以优质内容取胜，不断创新节目形式，严格控制嘉宾片酬。</w:t>
      </w:r>
      <w:r>
        <w:rPr>
          <w:rFonts w:hint="eastAsia" w:ascii="微软雅黑" w:hAnsi="微软雅黑" w:eastAsia="微软雅黑" w:cs="微软雅黑"/>
          <w:i w:val="0"/>
          <w:iCs w:val="0"/>
          <w:caps w:val="0"/>
          <w:color w:val="333333"/>
          <w:spacing w:val="0"/>
          <w:sz w:val="16"/>
          <w:szCs w:val="16"/>
          <w:u w:val="none"/>
          <w:shd w:val="clear" w:fill="FFFFFF"/>
        </w:rPr>
        <w:t>各广播电视播出机构、网络视听节目服务机构、节目制作机构要坚持以优质内容取胜，不断开拓创新人民群众喜闻乐见的节目形式，摒弃浮华，注重节俭，力戒高价追星、铺张浪费，对影视明星参与节目的片酬要控制合理额度，倡导影视明星以社会责任心和使命感积极参与公益性节目，坚决纠正高价邀请明星、竞逐明星的不良现象。各电视上星综合频道19:30-22:30播出的综艺节目要提前向总局报备嘉宾姓名、片酬、成本占比等信息，每个节目全部嘉宾总片酬不得超过节目总成本的 40%，主要嘉宾片酬不得超过嘉宾总片酬的70%。重点网络视听节目服务机构的网络综艺节目也要符合上述规定，上线前向国家广播电视总局报备以上信息。地面电视频道和其他网络视听节目服务机构综艺节目的嘉宾管理均要符合上述规定，由当地广播电视主管部门负责备案管理和日常监督。</w:t>
      </w:r>
    </w:p>
    <w:p w14:paraId="35ACA50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333333"/>
          <w:spacing w:val="0"/>
          <w:sz w:val="16"/>
          <w:szCs w:val="16"/>
          <w:u w:val="none"/>
        </w:rPr>
      </w:pPr>
      <w:r>
        <w:rPr>
          <w:rStyle w:val="6"/>
          <w:rFonts w:hint="eastAsia" w:ascii="微软雅黑" w:hAnsi="微软雅黑" w:eastAsia="微软雅黑" w:cs="微软雅黑"/>
          <w:b/>
          <w:bCs/>
          <w:i w:val="0"/>
          <w:iCs w:val="0"/>
          <w:caps w:val="0"/>
          <w:color w:val="333333"/>
          <w:spacing w:val="0"/>
          <w:sz w:val="16"/>
          <w:szCs w:val="16"/>
          <w:u w:val="none"/>
          <w:shd w:val="clear" w:fill="FFFFFF"/>
        </w:rPr>
        <w:t>四、加大电视剧网络剧（含网络电影）治理力度，促进行业良性发展。</w:t>
      </w:r>
      <w:r>
        <w:rPr>
          <w:rFonts w:hint="eastAsia" w:ascii="微软雅黑" w:hAnsi="微软雅黑" w:eastAsia="微软雅黑" w:cs="微软雅黑"/>
          <w:i w:val="0"/>
          <w:iCs w:val="0"/>
          <w:caps w:val="0"/>
          <w:color w:val="333333"/>
          <w:spacing w:val="0"/>
          <w:sz w:val="16"/>
          <w:szCs w:val="16"/>
          <w:u w:val="none"/>
          <w:shd w:val="clear" w:fill="FFFFFF"/>
        </w:rPr>
        <w:t>严格执行已出台的电视剧网络剧（含网络电影）成本配置比例行业自律规定，每部电视剧网络剧（含网络电影）全部演员片酬不超过制作总成本的40%，其中主要演员不超过总片酬的70%。如果出现全部演员总片酬超过制作总成本40%的情况，制作机构需向所属协会（中广联制片委员会、电视剧制作产业协会或中国网络视听节目服务协会）及中广联演员委员会进行备案并说明情况。无正当理由或隐瞒不报的，一经查实，由所属协会上报国家广播电视总局，视情况依法采取暂停直至永久取消剧目播出、制作资质等处罚措施。中广联制片委员会、电视剧制作产业协会、中国网络视听节目服务协会要积极推进，调研论证并制定出台切实可行的电视剧网络剧（含网络电影）片酬执行标准，明确演员最高片酬限额，并作为行业自律规定发布施行。同时，行业主管部门要加大惩戒力度，对违反规定的电视剧网络剧（含网络电影）演员，定期向社会公布名单并实施联合惩戒。广播电视播出机构、节目制作机构、网络视听节目服务机构、发行公司不得恶性竞争、哄抬价格购买播出电视剧网络剧（含网络电影），不得以明星为唯一议价标准。政府资金、免税的公益基金等不得参与投资娱乐性、商业性强的电视剧网络剧（含网络电影）。演员片酬超过配置比例规定或最高片酬限额的电视剧网络剧（含网络电影）不得参加党委政府部门和群团组织的评选奖励，不能享受政府资助补贴。</w:t>
      </w:r>
    </w:p>
    <w:p w14:paraId="0C1F9CB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333333"/>
          <w:spacing w:val="0"/>
          <w:sz w:val="16"/>
          <w:szCs w:val="16"/>
          <w:u w:val="none"/>
        </w:rPr>
      </w:pPr>
      <w:r>
        <w:rPr>
          <w:rStyle w:val="6"/>
          <w:rFonts w:hint="eastAsia" w:ascii="微软雅黑" w:hAnsi="微软雅黑" w:eastAsia="微软雅黑" w:cs="微软雅黑"/>
          <w:b/>
          <w:bCs/>
          <w:i w:val="0"/>
          <w:iCs w:val="0"/>
          <w:caps w:val="0"/>
          <w:color w:val="333333"/>
          <w:spacing w:val="0"/>
          <w:sz w:val="16"/>
          <w:szCs w:val="16"/>
          <w:u w:val="none"/>
          <w:shd w:val="clear" w:fill="FFFFFF"/>
        </w:rPr>
        <w:t>五、坚持同一标准、同一尺度，维护广播电视与网络视听节目的健康有序发展。</w:t>
      </w:r>
      <w:r>
        <w:rPr>
          <w:rFonts w:hint="eastAsia" w:ascii="微软雅黑" w:hAnsi="微软雅黑" w:eastAsia="微软雅黑" w:cs="微软雅黑"/>
          <w:i w:val="0"/>
          <w:iCs w:val="0"/>
          <w:caps w:val="0"/>
          <w:color w:val="333333"/>
          <w:spacing w:val="0"/>
          <w:sz w:val="16"/>
          <w:szCs w:val="16"/>
          <w:u w:val="none"/>
          <w:shd w:val="clear" w:fill="FFFFFF"/>
        </w:rPr>
        <w:t>广播与电视、上星频道与地面频道、网上与网下要坚持统筹管理、统一标准。各级广播电视主管部门要探索建立网台联动的有效管理机制，严把文艺节目的内容关、导向关、人员关、片酬关，存在问题的节目，网上网下均不得播出。要积极顺应信息技术发展趋势，充分发挥各自特色优势，推进广播电视和网络视听文艺节目在理念、内容、体裁、题材、形式、方法、手段等方面的创新，努力做到思想精深、艺术精湛、制作精良。</w:t>
      </w:r>
    </w:p>
    <w:p w14:paraId="3A37071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333333"/>
          <w:spacing w:val="0"/>
          <w:sz w:val="16"/>
          <w:szCs w:val="16"/>
          <w:u w:val="none"/>
        </w:rPr>
      </w:pPr>
      <w:r>
        <w:rPr>
          <w:rStyle w:val="6"/>
          <w:rFonts w:hint="eastAsia" w:ascii="微软雅黑" w:hAnsi="微软雅黑" w:eastAsia="微软雅黑" w:cs="微软雅黑"/>
          <w:b/>
          <w:bCs/>
          <w:i w:val="0"/>
          <w:iCs w:val="0"/>
          <w:caps w:val="0"/>
          <w:color w:val="333333"/>
          <w:spacing w:val="0"/>
          <w:sz w:val="16"/>
          <w:szCs w:val="16"/>
          <w:u w:val="none"/>
          <w:shd w:val="clear" w:fill="FFFFFF"/>
        </w:rPr>
        <w:t>六、加强收视率（点击率）调查数据使用管理，坚决打击收视率（点击率）造假行为。</w:t>
      </w:r>
      <w:r>
        <w:rPr>
          <w:rFonts w:hint="eastAsia" w:ascii="微软雅黑" w:hAnsi="微软雅黑" w:eastAsia="微软雅黑" w:cs="微软雅黑"/>
          <w:i w:val="0"/>
          <w:iCs w:val="0"/>
          <w:caps w:val="0"/>
          <w:color w:val="333333"/>
          <w:spacing w:val="0"/>
          <w:sz w:val="16"/>
          <w:szCs w:val="16"/>
          <w:u w:val="none"/>
          <w:shd w:val="clear" w:fill="FFFFFF"/>
        </w:rPr>
        <w:t>各广播电视播出机构、网络视听节目服务机构要建立节目综合评价体系，正确开展节目综合评价，正确看待、合理运用收视率（点击率）数据，坚决反对唯收视率（点击率）倾向。严禁播出机构对制作机构提出收视率承诺要求，严禁签订收视对赌协议。严禁任何机构和个人干扰、造假收视率（点击率）数据。相关行业协会和社团组织要有效发挥行业协会自律作用，督促全体会员自觉抵制收视率（点击率）造假行为。建立健全深化宣传、广电和公安等部门联合协调打击收视率（点击率）造假工作机制，对从事、参与收视率（点击率）造假等违法违规行为的机构和人员坚决予以惩戒。对于典型案例及时向社会曝光，维护行业良好秩序。</w:t>
      </w:r>
    </w:p>
    <w:p w14:paraId="3F1F6E6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333333"/>
          <w:spacing w:val="0"/>
          <w:sz w:val="16"/>
          <w:szCs w:val="16"/>
          <w:u w:val="none"/>
        </w:rPr>
      </w:pPr>
      <w:r>
        <w:rPr>
          <w:rStyle w:val="6"/>
          <w:rFonts w:hint="eastAsia" w:ascii="微软雅黑" w:hAnsi="微软雅黑" w:eastAsia="微软雅黑" w:cs="微软雅黑"/>
          <w:b/>
          <w:bCs/>
          <w:i w:val="0"/>
          <w:iCs w:val="0"/>
          <w:caps w:val="0"/>
          <w:color w:val="333333"/>
          <w:spacing w:val="0"/>
          <w:sz w:val="16"/>
          <w:szCs w:val="16"/>
          <w:u w:val="none"/>
          <w:shd w:val="clear" w:fill="FFFFFF"/>
        </w:rPr>
        <w:t>七、落实意识形态工作责任制，强化主管主办责任和属地管理责任。</w:t>
      </w:r>
      <w:r>
        <w:rPr>
          <w:rFonts w:hint="eastAsia" w:ascii="微软雅黑" w:hAnsi="微软雅黑" w:eastAsia="微软雅黑" w:cs="微软雅黑"/>
          <w:i w:val="0"/>
          <w:iCs w:val="0"/>
          <w:caps w:val="0"/>
          <w:color w:val="333333"/>
          <w:spacing w:val="0"/>
          <w:sz w:val="16"/>
          <w:szCs w:val="16"/>
          <w:u w:val="none"/>
          <w:shd w:val="clear" w:fill="FFFFFF"/>
        </w:rPr>
        <w:t>各级广播电视主管部门要坚持党管媒体的原则，认真落实意识形态工作责任制，强化主管主办责任和属地管理责任，层层传导，步步压实，形成对广播电视和网络视听文艺节目追星炒星、泛娱乐化、高价片酬、收视率（点击率）造假等问题齐抓共管、常抓不懈的局面。对违反本通知规定的单位，由广播电视主管部门依照《广播电视管理条例》《广播电视播出机构违规处理办法（试行）》等法规、文件的规定予以处罚、处理，定期向社会公布，并会同有关部门建立健全违规失信联合惩戒机制；违规单位的主管部门或者有权处理单位，应当依法对负有责任的主管人员或者直接责任人员予以处分、处理。造成严重社会影响的，相关作品不予发行播出，并依法予以查处，吊销其有关许可证；广播电视主管部门可以向被处罚、被处理单位的主管部门或者有权处理单位通报情况，提出对有关人员的处分、处理建议，并可函询后续处分、处理结果，各级收听收看、监测监管机构要加强节目监听监看工作，做到及时发现、及时研判、及时报告、及时处置。</w:t>
      </w:r>
    </w:p>
    <w:p w14:paraId="6DF8C9A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shd w:val="clear" w:fill="FFFFFF"/>
        </w:rPr>
        <w:t>特此通知。</w:t>
      </w:r>
    </w:p>
    <w:p w14:paraId="4E3E3A63">
      <w:pPr>
        <w:keepNext w:val="0"/>
        <w:keepLines w:val="0"/>
        <w:widowControl/>
        <w:suppressLineNumbers w:val="0"/>
        <w:pBdr>
          <w:top w:val="none" w:color="DDDDDD" w:sz="0" w:space="0"/>
          <w:left w:val="none" w:color="auto" w:sz="0" w:space="0"/>
          <w:bottom w:val="none" w:color="auto" w:sz="0" w:space="0"/>
          <w:right w:val="none" w:color="auto" w:sz="0" w:space="0"/>
        </w:pBdr>
        <w:spacing w:before="0" w:beforeAutospacing="0" w:after="0" w:afterAutospacing="0" w:line="352" w:lineRule="atLeast"/>
        <w:ind w:left="0" w:right="0"/>
        <w:jc w:val="left"/>
        <w:rPr>
          <w:color w:val="333333"/>
          <w:sz w:val="16"/>
          <w:szCs w:val="16"/>
        </w:rPr>
      </w:pPr>
      <w:r>
        <w:rPr>
          <w:rFonts w:hint="eastAsia"/>
          <w:color w:val="333333"/>
          <w:sz w:val="16"/>
          <w:szCs w:val="16"/>
        </w:rPr>
        <w:t>https://www.ja.gov.cn/public/6620651/24823414.html</w:t>
      </w:r>
      <w:bookmarkStart w:id="0" w:name="_GoBack"/>
      <w:bookmarkEnd w:id="0"/>
    </w:p>
    <w:p w14:paraId="29B922B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3ZDE5ZjViNDgxYTY4NjYyYjUxMWJlOGQ5YjBlNTUifQ=="/>
  </w:docVars>
  <w:rsids>
    <w:rsidRoot w:val="00000000"/>
    <w:rsid w:val="220A109F"/>
    <w:rsid w:val="38F21A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3011</Words>
  <Characters>3090</Characters>
  <Lines>0</Lines>
  <Paragraphs>0</Paragraphs>
  <TotalTime>0</TotalTime>
  <ScaleCrop>false</ScaleCrop>
  <LinksUpToDate>false</LinksUpToDate>
  <CharactersWithSpaces>3110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2024-07-23T05:19:00Z</dcterms:created>
  <dc:creator>Administrator</dc:creator>
  <cp:lastModifiedBy>云落</cp:lastModifiedBy>
  <dcterms:modified xsi:type="dcterms:W3CDTF">2024-07-23T05:25:30Z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AEDBB469180A4B52862B154C0682A37E_12</vt:lpwstr>
  </property>
</Properties>
</file>