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7" w:type="dxa"/>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354"/>
      </w:tblGrid>
      <w:tr w14:paraId="0D91ED63">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color="auto" w:fill="auto"/>
          <w:tblCellMar>
            <w:top w:w="0" w:type="dxa"/>
            <w:left w:w="0" w:type="dxa"/>
            <w:bottom w:w="0" w:type="dxa"/>
            <w:right w:w="0" w:type="dxa"/>
          </w:tblCellMar>
        </w:tblPrEx>
        <w:trPr>
          <w:tblCellSpacing w:w="7" w:type="dxa"/>
          <w:jc w:val="center"/>
        </w:trPr>
        <w:tc>
          <w:tcPr>
            <w:tcW w:w="0" w:type="auto"/>
            <w:shd w:val="clear" w:color="auto" w:fill="auto"/>
            <w:tcMar>
              <w:left w:w="0" w:type="dxa"/>
              <w:bottom w:w="0" w:type="dxa"/>
              <w:right w:w="0" w:type="dxa"/>
            </w:tcMar>
            <w:vAlign w:val="center"/>
          </w:tcPr>
          <w:p w14:paraId="78742F5E">
            <w:pPr>
              <w:keepNext w:val="0"/>
              <w:keepLines w:val="0"/>
              <w:widowControl/>
              <w:suppressLineNumbers w:val="0"/>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38"/>
                <w:szCs w:val="38"/>
                <w:u w:val="none"/>
              </w:rPr>
            </w:pPr>
            <w:r>
              <w:rPr>
                <w:rFonts w:hint="eastAsia" w:ascii="微软雅黑" w:hAnsi="微软雅黑" w:eastAsia="微软雅黑" w:cs="微软雅黑"/>
                <w:i w:val="0"/>
                <w:iCs w:val="0"/>
                <w:caps w:val="0"/>
                <w:color w:val="000000"/>
                <w:spacing w:val="0"/>
                <w:kern w:val="0"/>
                <w:sz w:val="38"/>
                <w:szCs w:val="38"/>
                <w:u w:val="none"/>
                <w:lang w:val="en-US" w:eastAsia="zh-CN" w:bidi="ar"/>
              </w:rPr>
              <w:t>互联网视听节目服务管理规定</w:t>
            </w:r>
          </w:p>
        </w:tc>
      </w:tr>
      <w:tr w14:paraId="01DDA8D0">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color="auto" w:fill="auto"/>
          <w:tblCellMar>
            <w:top w:w="0" w:type="dxa"/>
            <w:left w:w="0" w:type="dxa"/>
            <w:bottom w:w="0" w:type="dxa"/>
            <w:right w:w="0" w:type="dxa"/>
          </w:tblCellMar>
        </w:tblPrEx>
        <w:trPr>
          <w:tblCellSpacing w:w="7" w:type="dxa"/>
          <w:jc w:val="center"/>
        </w:trPr>
        <w:tc>
          <w:tcPr>
            <w:tcW w:w="4500" w:type="pct"/>
            <w:shd w:val="clear" w:color="auto" w:fill="auto"/>
            <w:tcMar>
              <w:top w:w="100" w:type="dxa"/>
              <w:left w:w="0" w:type="dxa"/>
              <w:bottom w:w="100" w:type="dxa"/>
              <w:right w:w="0" w:type="dxa"/>
            </w:tcMar>
            <w:vAlign w:val="center"/>
          </w:tcPr>
          <w:p w14:paraId="430D9BEA">
            <w:pPr>
              <w:keepNext w:val="0"/>
              <w:keepLines w:val="0"/>
              <w:widowControl/>
              <w:suppressLineNumbers w:val="0"/>
              <w:pBdr>
                <w:top w:val="single" w:color="DCDCDC" w:sz="8" w:space="0"/>
                <w:left w:val="single" w:color="DCDCDC" w:sz="8" w:space="0"/>
                <w:bottom w:val="single" w:color="DCDCDC" w:sz="8" w:space="0"/>
                <w:right w:val="single" w:color="DCDCDC" w:sz="8" w:space="0"/>
              </w:pBdr>
              <w:spacing w:before="0" w:beforeAutospacing="0" w:after="0" w:afterAutospacing="0"/>
              <w:ind w:left="0" w:right="0"/>
              <w:rPr>
                <w:rFonts w:hint="eastAsia" w:ascii="微软雅黑" w:hAnsi="微软雅黑" w:eastAsia="微软雅黑" w:cs="微软雅黑"/>
                <w:color w:val="DDDDDD"/>
                <w:u w:val="none"/>
              </w:rPr>
            </w:pPr>
            <w:r>
              <w:rPr>
                <w:sz w:val="24"/>
                <w:szCs w:val="24"/>
              </w:rPr>
              <w:pict>
                <v:rect id="_x0000_i1025" o:spt="1" style="height:0.75pt;width:433.55pt;" fillcolor="#DDDDDD" filled="t" stroked="f" coordsize="21600,21600" o:hr="t" o:hrstd="t" o:hrnoshade="t" o:hralign="center">
                  <v:path/>
                  <v:fill on="t" focussize="0,0"/>
                  <v:stroke on="f"/>
                  <v:imagedata o:title=""/>
                  <o:lock v:ext="edit"/>
                  <w10:wrap type="none"/>
                  <w10:anchorlock/>
                </v:rect>
              </w:pict>
            </w:r>
          </w:p>
          <w:tbl>
            <w:tblPr>
              <w:tblStyle w:val="3"/>
              <w:tblW w:w="45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580"/>
              <w:gridCol w:w="37"/>
              <w:gridCol w:w="1767"/>
              <w:gridCol w:w="2091"/>
            </w:tblGrid>
            <w:tr w14:paraId="6C7E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blCellSpacing w:w="15" w:type="dxa"/>
                <w:jc w:val="center"/>
              </w:trPr>
              <w:tc>
                <w:tcPr>
                  <w:tcW w:w="0" w:type="auto"/>
                  <w:shd w:val="clear" w:color="auto" w:fill="auto"/>
                  <w:vAlign w:val="center"/>
                </w:tcPr>
                <w:p w14:paraId="1AD6A0E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lang w:val="en-US" w:eastAsia="zh-CN" w:bidi="ar"/>
                    </w:rPr>
                    <w:t>发布日期：2015-05-21 16:12</w:t>
                  </w:r>
                </w:p>
              </w:tc>
              <w:tc>
                <w:tcPr>
                  <w:tcW w:w="0" w:type="auto"/>
                  <w:shd w:val="clear" w:color="auto" w:fill="auto"/>
                  <w:vAlign w:val="center"/>
                </w:tcPr>
                <w:p w14:paraId="2EE25FEB">
                  <w:pPr>
                    <w:jc w:val="center"/>
                    <w:rPr>
                      <w:rFonts w:hint="eastAsia" w:ascii="微软雅黑" w:hAnsi="微软雅黑" w:eastAsia="微软雅黑" w:cs="微软雅黑"/>
                      <w:color w:val="666666"/>
                      <w:sz w:val="24"/>
                      <w:szCs w:val="24"/>
                      <w:u w:val="none"/>
                    </w:rPr>
                  </w:pPr>
                </w:p>
              </w:tc>
              <w:tc>
                <w:tcPr>
                  <w:tcW w:w="0" w:type="auto"/>
                  <w:shd w:val="clear" w:color="auto" w:fill="auto"/>
                  <w:vAlign w:val="center"/>
                </w:tcPr>
                <w:p w14:paraId="5A4F38C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lang w:val="en-US" w:eastAsia="zh-CN" w:bidi="ar"/>
                    </w:rPr>
                    <w:t>字体：[ </w:t>
                  </w:r>
                  <w:r>
                    <w:rPr>
                      <w:rFonts w:hint="eastAsia" w:ascii="微软雅黑" w:hAnsi="微软雅黑" w:eastAsia="微软雅黑" w:cs="微软雅黑"/>
                      <w:color w:val="333333"/>
                      <w:kern w:val="0"/>
                      <w:sz w:val="14"/>
                      <w:szCs w:val="14"/>
                      <w:u w:val="none"/>
                      <w:lang w:val="en-US" w:eastAsia="zh-CN" w:bidi="ar"/>
                    </w:rPr>
                    <w:fldChar w:fldCharType="begin"/>
                  </w:r>
                  <w:r>
                    <w:rPr>
                      <w:rFonts w:hint="eastAsia" w:ascii="微软雅黑" w:hAnsi="微软雅黑" w:eastAsia="微软雅黑" w:cs="微软雅黑"/>
                      <w:color w:val="333333"/>
                      <w:kern w:val="0"/>
                      <w:sz w:val="14"/>
                      <w:szCs w:val="14"/>
                      <w:u w:val="none"/>
                      <w:lang w:val="en-US" w:eastAsia="zh-CN" w:bidi="ar"/>
                    </w:rPr>
                    <w:instrText xml:space="preserve"> HYPERLINK "javascript:doZoom(18)" </w:instrText>
                  </w:r>
                  <w:r>
                    <w:rPr>
                      <w:rFonts w:hint="eastAsia" w:ascii="微软雅黑" w:hAnsi="微软雅黑" w:eastAsia="微软雅黑" w:cs="微软雅黑"/>
                      <w:color w:val="333333"/>
                      <w:kern w:val="0"/>
                      <w:sz w:val="14"/>
                      <w:szCs w:val="14"/>
                      <w:u w:val="none"/>
                      <w:lang w:val="en-US" w:eastAsia="zh-CN" w:bidi="ar"/>
                    </w:rPr>
                    <w:fldChar w:fldCharType="separate"/>
                  </w:r>
                  <w:r>
                    <w:rPr>
                      <w:rStyle w:val="6"/>
                      <w:rFonts w:hint="eastAsia" w:ascii="微软雅黑" w:hAnsi="微软雅黑" w:eastAsia="微软雅黑" w:cs="微软雅黑"/>
                      <w:color w:val="333333"/>
                      <w:sz w:val="14"/>
                      <w:szCs w:val="14"/>
                      <w:u w:val="none"/>
                    </w:rPr>
                    <w:t>大</w:t>
                  </w:r>
                  <w:r>
                    <w:rPr>
                      <w:rFonts w:hint="eastAsia" w:ascii="微软雅黑" w:hAnsi="微软雅黑" w:eastAsia="微软雅黑" w:cs="微软雅黑"/>
                      <w:color w:val="333333"/>
                      <w:kern w:val="0"/>
                      <w:sz w:val="14"/>
                      <w:szCs w:val="14"/>
                      <w:u w:val="none"/>
                      <w:lang w:val="en-US" w:eastAsia="zh-CN" w:bidi="ar"/>
                    </w:rPr>
                    <w:fldChar w:fldCharType="end"/>
                  </w:r>
                  <w:r>
                    <w:rPr>
                      <w:rFonts w:hint="eastAsia" w:ascii="微软雅黑" w:hAnsi="微软雅黑" w:eastAsia="微软雅黑" w:cs="微软雅黑"/>
                      <w:color w:val="666666"/>
                      <w:kern w:val="0"/>
                      <w:sz w:val="24"/>
                      <w:szCs w:val="24"/>
                      <w:u w:val="none"/>
                      <w:lang w:val="en-US" w:eastAsia="zh-CN" w:bidi="ar"/>
                    </w:rPr>
                    <w:t> </w:t>
                  </w:r>
                  <w:r>
                    <w:rPr>
                      <w:rFonts w:hint="eastAsia" w:ascii="微软雅黑" w:hAnsi="微软雅黑" w:eastAsia="微软雅黑" w:cs="微软雅黑"/>
                      <w:color w:val="333333"/>
                      <w:kern w:val="0"/>
                      <w:sz w:val="14"/>
                      <w:szCs w:val="14"/>
                      <w:u w:val="none"/>
                      <w:lang w:val="en-US" w:eastAsia="zh-CN" w:bidi="ar"/>
                    </w:rPr>
                    <w:fldChar w:fldCharType="begin"/>
                  </w:r>
                  <w:r>
                    <w:rPr>
                      <w:rFonts w:hint="eastAsia" w:ascii="微软雅黑" w:hAnsi="微软雅黑" w:eastAsia="微软雅黑" w:cs="微软雅黑"/>
                      <w:color w:val="333333"/>
                      <w:kern w:val="0"/>
                      <w:sz w:val="14"/>
                      <w:szCs w:val="14"/>
                      <w:u w:val="none"/>
                      <w:lang w:val="en-US" w:eastAsia="zh-CN" w:bidi="ar"/>
                    </w:rPr>
                    <w:instrText xml:space="preserve"> HYPERLINK "javascript:doZoom(16)" </w:instrText>
                  </w:r>
                  <w:r>
                    <w:rPr>
                      <w:rFonts w:hint="eastAsia" w:ascii="微软雅黑" w:hAnsi="微软雅黑" w:eastAsia="微软雅黑" w:cs="微软雅黑"/>
                      <w:color w:val="333333"/>
                      <w:kern w:val="0"/>
                      <w:sz w:val="14"/>
                      <w:szCs w:val="14"/>
                      <w:u w:val="none"/>
                      <w:lang w:val="en-US" w:eastAsia="zh-CN" w:bidi="ar"/>
                    </w:rPr>
                    <w:fldChar w:fldCharType="separate"/>
                  </w:r>
                  <w:r>
                    <w:rPr>
                      <w:rStyle w:val="6"/>
                      <w:rFonts w:hint="eastAsia" w:ascii="微软雅黑" w:hAnsi="微软雅黑" w:eastAsia="微软雅黑" w:cs="微软雅黑"/>
                      <w:color w:val="333333"/>
                      <w:sz w:val="14"/>
                      <w:szCs w:val="14"/>
                      <w:u w:val="none"/>
                    </w:rPr>
                    <w:t>中</w:t>
                  </w:r>
                  <w:r>
                    <w:rPr>
                      <w:rFonts w:hint="eastAsia" w:ascii="微软雅黑" w:hAnsi="微软雅黑" w:eastAsia="微软雅黑" w:cs="微软雅黑"/>
                      <w:color w:val="333333"/>
                      <w:kern w:val="0"/>
                      <w:sz w:val="14"/>
                      <w:szCs w:val="14"/>
                      <w:u w:val="none"/>
                      <w:lang w:val="en-US" w:eastAsia="zh-CN" w:bidi="ar"/>
                    </w:rPr>
                    <w:fldChar w:fldCharType="end"/>
                  </w:r>
                  <w:r>
                    <w:rPr>
                      <w:rFonts w:hint="eastAsia" w:ascii="微软雅黑" w:hAnsi="微软雅黑" w:eastAsia="微软雅黑" w:cs="微软雅黑"/>
                      <w:color w:val="666666"/>
                      <w:kern w:val="0"/>
                      <w:sz w:val="24"/>
                      <w:szCs w:val="24"/>
                      <w:u w:val="none"/>
                      <w:lang w:val="en-US" w:eastAsia="zh-CN" w:bidi="ar"/>
                    </w:rPr>
                    <w:t> </w:t>
                  </w:r>
                  <w:r>
                    <w:rPr>
                      <w:rFonts w:hint="eastAsia" w:ascii="微软雅黑" w:hAnsi="微软雅黑" w:eastAsia="微软雅黑" w:cs="微软雅黑"/>
                      <w:color w:val="333333"/>
                      <w:kern w:val="0"/>
                      <w:sz w:val="14"/>
                      <w:szCs w:val="14"/>
                      <w:u w:val="none"/>
                      <w:lang w:val="en-US" w:eastAsia="zh-CN" w:bidi="ar"/>
                    </w:rPr>
                    <w:fldChar w:fldCharType="begin"/>
                  </w:r>
                  <w:r>
                    <w:rPr>
                      <w:rFonts w:hint="eastAsia" w:ascii="微软雅黑" w:hAnsi="微软雅黑" w:eastAsia="微软雅黑" w:cs="微软雅黑"/>
                      <w:color w:val="333333"/>
                      <w:kern w:val="0"/>
                      <w:sz w:val="14"/>
                      <w:szCs w:val="14"/>
                      <w:u w:val="none"/>
                      <w:lang w:val="en-US" w:eastAsia="zh-CN" w:bidi="ar"/>
                    </w:rPr>
                    <w:instrText xml:space="preserve"> HYPERLINK "javascript:doZoom(14)" </w:instrText>
                  </w:r>
                  <w:r>
                    <w:rPr>
                      <w:rFonts w:hint="eastAsia" w:ascii="微软雅黑" w:hAnsi="微软雅黑" w:eastAsia="微软雅黑" w:cs="微软雅黑"/>
                      <w:color w:val="333333"/>
                      <w:kern w:val="0"/>
                      <w:sz w:val="14"/>
                      <w:szCs w:val="14"/>
                      <w:u w:val="none"/>
                      <w:lang w:val="en-US" w:eastAsia="zh-CN" w:bidi="ar"/>
                    </w:rPr>
                    <w:fldChar w:fldCharType="separate"/>
                  </w:r>
                  <w:r>
                    <w:rPr>
                      <w:rStyle w:val="6"/>
                      <w:rFonts w:hint="eastAsia" w:ascii="微软雅黑" w:hAnsi="微软雅黑" w:eastAsia="微软雅黑" w:cs="微软雅黑"/>
                      <w:color w:val="333333"/>
                      <w:sz w:val="14"/>
                      <w:szCs w:val="14"/>
                      <w:u w:val="none"/>
                    </w:rPr>
                    <w:t>小</w:t>
                  </w:r>
                  <w:r>
                    <w:rPr>
                      <w:rFonts w:hint="eastAsia" w:ascii="微软雅黑" w:hAnsi="微软雅黑" w:eastAsia="微软雅黑" w:cs="微软雅黑"/>
                      <w:color w:val="333333"/>
                      <w:kern w:val="0"/>
                      <w:sz w:val="14"/>
                      <w:szCs w:val="14"/>
                      <w:u w:val="none"/>
                      <w:lang w:val="en-US" w:eastAsia="zh-CN" w:bidi="ar"/>
                    </w:rPr>
                    <w:fldChar w:fldCharType="end"/>
                  </w:r>
                  <w:r>
                    <w:rPr>
                      <w:rFonts w:hint="eastAsia" w:ascii="微软雅黑" w:hAnsi="微软雅黑" w:eastAsia="微软雅黑" w:cs="微软雅黑"/>
                      <w:color w:val="666666"/>
                      <w:kern w:val="0"/>
                      <w:sz w:val="24"/>
                      <w:szCs w:val="24"/>
                      <w:u w:val="none"/>
                      <w:lang w:val="en-US" w:eastAsia="zh-CN" w:bidi="ar"/>
                    </w:rPr>
                    <w:t> ]</w:t>
                  </w:r>
                </w:p>
              </w:tc>
              <w:tc>
                <w:tcPr>
                  <w:tcW w:w="0" w:type="auto"/>
                  <w:shd w:val="clear" w:color="auto" w:fill="auto"/>
                  <w:vAlign w:val="center"/>
                </w:tcPr>
                <w:p w14:paraId="1891C41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666666"/>
                      <w:u w:val="none"/>
                    </w:rPr>
                  </w:pPr>
                  <w:r>
                    <w:rPr>
                      <w:rFonts w:hint="eastAsia" w:ascii="微软雅黑" w:hAnsi="微软雅黑" w:eastAsia="微软雅黑" w:cs="微软雅黑"/>
                      <w:color w:val="666666"/>
                      <w:kern w:val="0"/>
                      <w:sz w:val="24"/>
                      <w:szCs w:val="24"/>
                      <w:u w:val="none"/>
                      <w:lang w:val="en-US" w:eastAsia="zh-CN" w:bidi="ar"/>
                    </w:rPr>
                    <w:t>视力保护色：      </w:t>
                  </w:r>
                </w:p>
              </w:tc>
            </w:tr>
          </w:tbl>
          <w:p w14:paraId="59F5A85D">
            <w:pPr>
              <w:spacing w:before="0" w:beforeAutospacing="0" w:after="0" w:afterAutospacing="0"/>
              <w:ind w:left="0" w:right="0"/>
              <w:jc w:val="center"/>
              <w:rPr>
                <w:rFonts w:hint="eastAsia" w:ascii="微软雅黑" w:hAnsi="微软雅黑" w:eastAsia="微软雅黑" w:cs="微软雅黑"/>
                <w:i w:val="0"/>
                <w:iCs w:val="0"/>
                <w:caps w:val="0"/>
                <w:color w:val="000000"/>
                <w:spacing w:val="0"/>
                <w:sz w:val="27"/>
                <w:szCs w:val="27"/>
                <w:u w:val="none"/>
              </w:rPr>
            </w:pPr>
          </w:p>
        </w:tc>
      </w:tr>
      <w:tr w14:paraId="3A3C21B2">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color="auto" w:fill="auto"/>
        </w:tblPrEx>
        <w:trPr>
          <w:tblCellSpacing w:w="7" w:type="dxa"/>
          <w:jc w:val="center"/>
        </w:trPr>
        <w:tc>
          <w:tcPr>
            <w:tcW w:w="0" w:type="auto"/>
            <w:shd w:val="clear" w:color="auto" w:fill="auto"/>
            <w:tcMar>
              <w:left w:w="0" w:type="dxa"/>
              <w:bottom w:w="0" w:type="dxa"/>
              <w:right w:w="0" w:type="dxa"/>
            </w:tcMar>
            <w:vAlign w:val="center"/>
          </w:tcPr>
          <w:tbl>
            <w:tblPr>
              <w:tblStyle w:val="3"/>
              <w:tblW w:w="8940" w:type="dxa"/>
              <w:jc w:val="center"/>
              <w:tblBorders>
                <w:top w:val="none" w:color="999999" w:sz="0" w:space="0"/>
                <w:left w:val="none" w:color="999999" w:sz="0" w:space="0"/>
                <w:bottom w:val="single" w:color="999999" w:sz="4" w:space="0"/>
                <w:right w:val="single" w:color="999999" w:sz="4"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984"/>
              <w:gridCol w:w="956"/>
            </w:tblGrid>
            <w:tr w14:paraId="47887C64">
              <w:tblPrEx>
                <w:tblBorders>
                  <w:top w:val="none" w:color="999999" w:sz="0" w:space="0"/>
                  <w:left w:val="none" w:color="999999" w:sz="0" w:space="0"/>
                  <w:bottom w:val="single" w:color="999999" w:sz="4" w:space="0"/>
                  <w:right w:val="single" w:color="999999" w:sz="4"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0" w:type="auto"/>
                  <w:tcBorders>
                    <w:top w:val="single" w:color="999999" w:sz="4" w:space="0"/>
                    <w:left w:val="single" w:color="999999" w:sz="4" w:space="0"/>
                    <w:bottom w:val="nil"/>
                    <w:right w:val="nil"/>
                  </w:tcBorders>
                  <w:shd w:val="clear" w:color="auto" w:fill="auto"/>
                  <w:tcMar>
                    <w:left w:w="80" w:type="dxa"/>
                  </w:tcMar>
                  <w:vAlign w:val="center"/>
                </w:tcPr>
                <w:p w14:paraId="408377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b/>
                      <w:bCs/>
                      <w:color w:val="333333"/>
                      <w:sz w:val="16"/>
                      <w:szCs w:val="16"/>
                      <w:u w:val="none"/>
                    </w:rPr>
                    <w:t>国家广播电影电视总局</w:t>
                  </w:r>
                </w:p>
                <w:p w14:paraId="40F4CB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b/>
                      <w:bCs/>
                      <w:color w:val="333333"/>
                      <w:sz w:val="16"/>
                      <w:szCs w:val="16"/>
                      <w:u w:val="none"/>
                    </w:rPr>
                    <w:t>中华人民共和国信息产业部</w:t>
                  </w:r>
                </w:p>
              </w:tc>
              <w:tc>
                <w:tcPr>
                  <w:tcW w:w="0" w:type="auto"/>
                  <w:tcBorders>
                    <w:top w:val="single" w:color="999999" w:sz="4" w:space="0"/>
                    <w:left w:val="single" w:color="999999" w:sz="4" w:space="0"/>
                    <w:bottom w:val="nil"/>
                    <w:right w:val="nil"/>
                  </w:tcBorders>
                  <w:shd w:val="clear" w:color="auto" w:fill="auto"/>
                  <w:tcMar>
                    <w:left w:w="80" w:type="dxa"/>
                  </w:tcMar>
                  <w:vAlign w:val="center"/>
                </w:tcPr>
                <w:p w14:paraId="441D67BA">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b/>
                      <w:bCs/>
                      <w:color w:val="FF0000"/>
                      <w:sz w:val="16"/>
                      <w:szCs w:val="16"/>
                      <w:u w:val="none"/>
                    </w:rPr>
                  </w:pPr>
                  <w:r>
                    <w:rPr>
                      <w:rFonts w:hint="eastAsia" w:ascii="微软雅黑" w:hAnsi="微软雅黑" w:eastAsia="微软雅黑" w:cs="微软雅黑"/>
                      <w:b/>
                      <w:bCs/>
                      <w:color w:val="FF0000"/>
                      <w:kern w:val="0"/>
                      <w:sz w:val="16"/>
                      <w:szCs w:val="16"/>
                      <w:u w:val="none"/>
                      <w:lang w:val="en-US" w:eastAsia="zh-CN" w:bidi="ar"/>
                    </w:rPr>
                    <w:t>令</w:t>
                  </w:r>
                </w:p>
              </w:tc>
            </w:tr>
          </w:tbl>
          <w:p w14:paraId="0617850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kern w:val="0"/>
                <w:sz w:val="16"/>
                <w:szCs w:val="16"/>
                <w:u w:val="none"/>
                <w:lang w:val="en-US" w:eastAsia="zh-CN" w:bidi="ar"/>
              </w:rPr>
              <w:t>(第 56 号）</w:t>
            </w:r>
          </w:p>
          <w:p w14:paraId="365274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20"/>
              <w:jc w:val="both"/>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kern w:val="0"/>
                <w:sz w:val="16"/>
                <w:szCs w:val="16"/>
                <w:u w:val="none"/>
                <w:lang w:val="en-US" w:eastAsia="zh-CN" w:bidi="ar"/>
              </w:rPr>
              <w:t>《互联网视听节目服务管理规定》经国家广播电影电视总局、中华人民共和国信息产业部审议通过，现予发布，自2008年1月31日起施行。</w:t>
            </w:r>
          </w:p>
          <w:p w14:paraId="2C6179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rPr>
              <w:t>国家广播电影电视总局局长：王太华</w:t>
            </w:r>
          </w:p>
          <w:p w14:paraId="2962D9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i w:val="0"/>
                <w:iCs w:val="0"/>
                <w:caps w:val="0"/>
                <w:color w:val="333333"/>
                <w:spacing w:val="0"/>
                <w:sz w:val="16"/>
                <w:szCs w:val="16"/>
                <w:u w:val="none"/>
              </w:rPr>
              <w:t>中华人民共和国信息产业部部长：王旭东</w:t>
            </w:r>
          </w:p>
          <w:p w14:paraId="6D25570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right"/>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kern w:val="0"/>
                <w:sz w:val="16"/>
                <w:szCs w:val="16"/>
                <w:u w:val="none"/>
                <w:lang w:val="en-US" w:eastAsia="zh-CN" w:bidi="ar"/>
              </w:rPr>
              <w:t>二○○七年十二月二十日</w:t>
            </w:r>
          </w:p>
          <w:tbl>
            <w:tblPr>
              <w:tblStyle w:val="3"/>
              <w:tblW w:w="8940" w:type="dxa"/>
              <w:tblInd w:w="-5" w:type="dxa"/>
              <w:tblBorders>
                <w:top w:val="none" w:color="999999" w:sz="0" w:space="0"/>
                <w:left w:val="none" w:color="999999" w:sz="0" w:space="0"/>
                <w:bottom w:val="single" w:color="999999" w:sz="4" w:space="0"/>
                <w:right w:val="single" w:color="999999" w:sz="4"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940"/>
            </w:tblGrid>
            <w:tr w14:paraId="3DC64E18">
              <w:tblPrEx>
                <w:tblBorders>
                  <w:top w:val="none" w:color="999999" w:sz="0" w:space="0"/>
                  <w:left w:val="none" w:color="999999" w:sz="0" w:space="0"/>
                  <w:bottom w:val="single" w:color="999999" w:sz="4" w:space="0"/>
                  <w:right w:val="single" w:color="999999" w:sz="4" w:space="0"/>
                  <w:insideH w:val="none" w:color="auto" w:sz="0" w:space="0"/>
                  <w:insideV w:val="none" w:color="auto" w:sz="0" w:space="0"/>
                </w:tblBorders>
                <w:shd w:val="clear" w:color="auto" w:fill="auto"/>
                <w:tblCellMar>
                  <w:top w:w="0" w:type="dxa"/>
                  <w:left w:w="0" w:type="dxa"/>
                  <w:bottom w:w="0" w:type="dxa"/>
                  <w:right w:w="0" w:type="dxa"/>
                </w:tblCellMar>
              </w:tblPrEx>
              <w:tc>
                <w:tcPr>
                  <w:tcW w:w="0" w:type="auto"/>
                  <w:tcBorders>
                    <w:top w:val="single" w:color="999999" w:sz="4" w:space="0"/>
                    <w:left w:val="single" w:color="999999" w:sz="4" w:space="0"/>
                    <w:bottom w:val="nil"/>
                    <w:right w:val="nil"/>
                  </w:tcBorders>
                  <w:shd w:val="clear" w:color="auto" w:fill="auto"/>
                  <w:tcMar>
                    <w:top w:w="200" w:type="dxa"/>
                    <w:left w:w="80" w:type="dxa"/>
                  </w:tcMar>
                  <w:vAlign w:val="top"/>
                </w:tcPr>
                <w:p w14:paraId="17E4D3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　　</w:t>
                  </w:r>
                </w:p>
                <w:p w14:paraId="074647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color w:val="333333"/>
                      <w:u w:val="none"/>
                    </w:rPr>
                  </w:pPr>
                  <w:r>
                    <w:rPr>
                      <w:rStyle w:val="5"/>
                      <w:rFonts w:hint="eastAsia" w:ascii="微软雅黑" w:hAnsi="微软雅黑" w:eastAsia="微软雅黑" w:cs="微软雅黑"/>
                      <w:color w:val="333333"/>
                      <w:u w:val="none"/>
                    </w:rPr>
                    <w:t>互联网视听节目服务管理规定</w:t>
                  </w:r>
                </w:p>
                <w:p w14:paraId="3027C3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（2007年12月20日 国家广播电影电视总局 信息产业部令第56号  根据2015年8月28日《关于修订部分规章和规范性文件的决定》修订）</w:t>
                  </w:r>
                </w:p>
                <w:p w14:paraId="0550D4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 </w:t>
                  </w:r>
                </w:p>
                <w:p w14:paraId="39B170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第一条  为维护国家利益和公共利益，保护公众和互联网视听节目服务单位的合法权益，规范互联网视听节目服务秩序，促进健康有序发展，根据国家有关规定，制定本规定。</w:t>
                  </w:r>
                </w:p>
                <w:p w14:paraId="06747D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第二条  在中华人民共和国境内向公众提供互联网（含移动互联网，以下简称互联网）视听节目服务活动，适用本规定。</w:t>
                  </w:r>
                </w:p>
                <w:p w14:paraId="157BAC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本规定所称互联网视听节目服务，是指制作、编辑、集成并通过互联网向公众提供视音频节目，以及为他人提供上载传播视听节目服务的活动。</w:t>
                  </w:r>
                </w:p>
                <w:p w14:paraId="31854F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第三条  国务院广播电影电视主管部门作为互联网视听节目服务的行业主管部门，负责对互联网视听节目服务实施监督管理，统筹互联网视听节目服务的产业发展、行业管理、内容建设和安全监管。国务院信息产业主管部门作为互联网行业主管部门，依据电信行业管理职责对互联网视听节目服务实施相应的监督管理。</w:t>
                  </w:r>
                </w:p>
                <w:p w14:paraId="6A8879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地方人民政府广播电影电视主管部门和地方电信管理机构依据各自职责对本行政区域内的互联网视听节目服务单位及接入服务实施相应的监督管理。</w:t>
                  </w:r>
                </w:p>
                <w:p w14:paraId="4AC23C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第四条  互联网视听节目服务单位及其相关网络运营单位，是重要的网络文化建设力量，承担建设中国特色网络文化和维护网络文化信息安全的责任,应自觉遵守宪法、法律和行政法规，接受互联网视听节目服务行业主管部门和互联网行业主管部门的管理。</w:t>
                  </w:r>
                </w:p>
                <w:p w14:paraId="7BA35C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第五条  互联网视听节目服务单位组成的全国性社会团体，负责制定行业自律规范，倡导文明上网、文明办网，营造文明健康的网络环境，传播健康有益视听节目，抵制腐朽落后思想文化传播，并在国务院广播电影电视主管部门指导下开展活动。</w:t>
                  </w:r>
                </w:p>
                <w:p w14:paraId="54AFA3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第六条  发展互联网视听节目服务要有益于传播社会主义先进文化，推动社会全面进步和人的全面发展、促进社会和谐。从事互联网视听节目服务，应当坚持为人民服务、为社会主义服务，坚持正确导向，把社会效益放在首位，建设社会主义核心价值体系，遵守社会主义道德规范，大力弘扬体现时代发展和社会进步的思想文化，大力弘扬民族优秀文化传统，提供更多更好的互联网视听节目服务，满足人民群众日益增长的需求，不断丰富人民群众的精神文化生活，充分发挥文化滋润心灵、陶冶情操、愉悦身心的作用，为青少年成长创造良好的网上空间，形成共建共享的精神家园。</w:t>
                  </w:r>
                </w:p>
                <w:p w14:paraId="1AB5FF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第七条  从事互联网视听节目服务，应当依照本规定取得广播电影电视主管部门颁发的《信息网络传播视听节目许可证》（以下简称《许可证》）或履行备案手续。</w:t>
                  </w:r>
                </w:p>
                <w:p w14:paraId="69DA50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未按照本规定取得广播电影电视主管部门颁发的《许可证》或履行备案手续，任何单位和个人不得从事互联网视听节目服务。</w:t>
                  </w:r>
                </w:p>
                <w:p w14:paraId="7BB39D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互联网视听节目服务业务指导目录由国务院广播电影电视主管部门商国务院信息产业主管部门制定。</w:t>
                  </w:r>
                </w:p>
                <w:p w14:paraId="1F13BA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第八条  申请从事互联网视听节目服务的，应当同时具备以下条件：</w:t>
                  </w:r>
                </w:p>
                <w:p w14:paraId="1A7283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（一）具备法人资格，为国有独资或国有控股单位，且在申请之日前三年内无违法违规记录；</w:t>
                  </w:r>
                </w:p>
                <w:p w14:paraId="280E5F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（二）有健全的节目安全传播管理制度和安全保护技术措施；</w:t>
                  </w:r>
                </w:p>
                <w:p w14:paraId="067A9D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（三）有与其业务相适应并符合国家规定的视听节目资源；</w:t>
                  </w:r>
                </w:p>
                <w:p w14:paraId="0B333C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（四）有与其业务相适应的技术能力、网络资源；</w:t>
                  </w:r>
                </w:p>
                <w:p w14:paraId="1B377D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（五）有与其业务相适应的专业人员，且主要出资者和经营者在申请之日前三年内无违法违规记录；</w:t>
                  </w:r>
                </w:p>
                <w:p w14:paraId="18E5F9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（六）技术方案符合国家标准、行业标准和技术规范；</w:t>
                  </w:r>
                </w:p>
                <w:p w14:paraId="08D063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（七）符合国务院广播电影电视主管部门确定的互联网视听节目服务总体规划、布局和业务指导目录；</w:t>
                  </w:r>
                </w:p>
                <w:p w14:paraId="2BEB27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（八）符合法律、行政法规和国家有关规定的条件。</w:t>
                  </w:r>
                </w:p>
                <w:p w14:paraId="344C2A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第九条  从事广播电台、电视台形态服务和时政类视听新闻服务的，除符合本规定第八条规定外，还应当持有广播电视播出机构许可证或互联网新闻信息服务许可证。其中，以自办频道方式播放视听节目的，由地（市）级以上广播电台、电视台、中央新闻单位提出申请。</w:t>
                  </w:r>
                </w:p>
                <w:p w14:paraId="1BE791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从事主持、访谈、报道类视听服务的，除符合本规定第八条规定外，还应当持有广播电视节目制作经营许可证和互联网新闻信息服务许可证；从事自办网络剧（片）类服务的，还应当持有广播电视节目制作经营许可证。</w:t>
                  </w:r>
                </w:p>
                <w:p w14:paraId="434838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未经批准，任何组织和个人不得在互联网上使用广播电视专有名称开展业务。</w:t>
                  </w:r>
                </w:p>
                <w:p w14:paraId="41F12C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第十条  申请《许可证》，应当通过省、自治区、直辖市人民政府广播电影电视主管部门向国务院广播电影电视主管部门提出申请，中央直属单位可以直接向国务院广播电影电视主管部门提出申请。</w:t>
                  </w:r>
                </w:p>
                <w:p w14:paraId="39AB60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省、自治区、直辖市人民政府广播电影电视主管部门应当提供便捷的服务，自收到申请之日起20日内提出初审意见，报国务院广播电影电视主管部门审批；国务院广播电影电视主管部门应当自收到申请或者初审意见之日起40日内作出许可或者不予许可的决定，其中专家评审时间为20日。予以许可的，向申请人颁发《许可证》，并向社会公告；不予许可的，应当书面通知申请人并说明理由。《许可证》应当载明互联网视听节目服务的播出标识、名称、服务类别等事项。</w:t>
                  </w:r>
                </w:p>
                <w:p w14:paraId="3CEC57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《许可证》有效期为3年。有效期届满，需继续从事互联网视听节目服务的，应于有效期届满前30日内，持符合本办法第八条规定条件的相关材料，向原发证机关申请办理续办手续。</w:t>
                  </w:r>
                </w:p>
                <w:p w14:paraId="5B4460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地（市）级以上广播电台、电视台从事互联网视听节目转播类服务的，到省级以上广播电影电视主管部门履行备案手续。中央新闻单位从事互联网视听节目转播类服务的，到国务院广播电影电视主管部门履行备案手续。备案单位应在节目开播30日前，提交网址、网站名、拟转播的广播电视频道、栏目名称等有关备案材料，广播电影电视主管部门应将备案情况向社会公告。</w:t>
                  </w:r>
                </w:p>
                <w:p w14:paraId="752C1F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第十一条  取得《许可证》的单位，应当依据《互联网信息服务管理办法》，向省（自治区、直辖市）电信管理机构或国务院信息产业主管部门（以下简称电信主管部门）申请办理电信业务经营许可或者履行相关备案手续，并依法到工商行政管理部门办理注册登记或变更登记手续。电信主管部门应根据广播电影电视主管部门许可，严格互联网视听节目服务单位的域名和IP地址管理。</w:t>
                  </w:r>
                </w:p>
                <w:p w14:paraId="025196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第十二条  互联网视听节目服务单位变更股东、股权结构，有重大资产变动或有上市等重大融资行为的，以及业务项目超出《许可证》载明范围的，应按本规定办理审批手续。互联网视听节目服务单位的办公场所、法定代表人以及互联网信息服务单位的网址、网站名依法变更的，应当在变更后15日内向省级以上广播电影电视主管部门和电信主管部门备案,变更事项涉及工商登记的，应当依法到工商行政管理部门办理变更登记手续。</w:t>
                  </w:r>
                </w:p>
                <w:p w14:paraId="07690C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第十三条  互联网视听节目服务单位应当在取得《许可证》90日内提供互联网视听节目服务。未按期提供服务的，其《许可证》由原发证机关予以注销。如因特殊原因，应经发证机关同意。申请终止服务的，应提前60日向原发证机关申报，其《许可证》由原发证机关予以注销。连续停止业务超过60日的，由原发证机关按终止业务处理，其《许可证》由原发证机关予以注销。</w:t>
                  </w:r>
                </w:p>
                <w:p w14:paraId="4A71EE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第十四条  互联网视听节目服务单位应当按照《许可证》载明或备案的事项开展互联网视听节目服务，并在播出界面显著位置标注国务院广播电影电视主管部门批准的播出标识、名称、《许可证》或备案编号。</w:t>
                  </w:r>
                </w:p>
                <w:p w14:paraId="74C6C5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任何单位不得向未持有《许可证》或备案的单位提供与互联网视听节目服务有关的代收费及信号传输、服务器托管等金融和技术服务。</w:t>
                  </w:r>
                </w:p>
                <w:p w14:paraId="4E1476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第十五条  鼓励国有战略投资者投资互联网视听节目服务企业；鼓励互联网视听节目服务单位积极开发适应新一代互联网和移动通信特点的新业务，为移动多媒体、多媒体网站生产积极健康的视听节目，努力提高互联网视听节目的供给能力；鼓励影视生产基地、电视节目制作单位多生产适合在网上传播的影视剧（片）、娱乐节目，积极发展民族网络影视产业；鼓励互联网视听节目服务单位传播公益性视听节目。</w:t>
                  </w:r>
                </w:p>
                <w:p w14:paraId="52CAE7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互联网视听节目服务单位应当遵守著作权法律、行政法规的规定，采取版权保护措施，保护著作权人的合法权益。</w:t>
                  </w:r>
                </w:p>
                <w:p w14:paraId="56AF9E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第十六条  互联网视听节目服务单位提供的、网络运营单位接入的视听节目应当符合法律、行政法规、部门规章的规定。已播出的视听节目应至少完整保留60日。视听节目不得含有以下内容：</w:t>
                  </w:r>
                </w:p>
                <w:p w14:paraId="7A2815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（一）反对宪法确定的基本原则的；</w:t>
                  </w:r>
                </w:p>
                <w:p w14:paraId="600AC8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（二）危害国家统一、主权和领土完整的；</w:t>
                  </w:r>
                </w:p>
                <w:p w14:paraId="6D5324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（三）泄露国家秘密、危害国家安全或者损害国家荣誉和利益的；</w:t>
                  </w:r>
                </w:p>
                <w:p w14:paraId="4337C1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（四）煽动民族仇恨、民族歧视，破坏民族团结，或者侵害民族风俗、习惯的；</w:t>
                  </w:r>
                </w:p>
                <w:p w14:paraId="0698F4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（五）宣扬邪教、迷信的；</w:t>
                  </w:r>
                </w:p>
                <w:p w14:paraId="2C33FC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（六）扰乱社会秩序，破坏社会稳定的；</w:t>
                  </w:r>
                </w:p>
                <w:p w14:paraId="0CA89C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（七）诱导未成年人违法犯罪和渲染暴力、色情、赌博、恐怖活动的；</w:t>
                  </w:r>
                </w:p>
                <w:p w14:paraId="5A341B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（八）侮辱或者诽谤他人，侵害公民个人隐私等他人合法权益的；</w:t>
                  </w:r>
                </w:p>
                <w:p w14:paraId="01EC1C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（九）危害社会公德，损害民族优秀文化传统的；</w:t>
                  </w:r>
                </w:p>
                <w:p w14:paraId="1822F5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（十）有关法律、行政法规和国家规定禁止的其他内容。</w:t>
                  </w:r>
                </w:p>
                <w:p w14:paraId="02AB76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第十七条  用于互联网视听节目服务的电影电视剧类节目和其它节目，应当符合国家有关广播电影电视节目的管理规定。互联网视听节目服务单位播出时政类视听新闻节目，应当是地（市）级以上广播电台、电视台制作、播出的节目和中央新闻单位网站登载的时政类视听新闻节目。</w:t>
                  </w:r>
                </w:p>
                <w:p w14:paraId="5ACA5A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未持有《许可证》的单位不得为个人提供上载传播视听节目服务。互联网视听节目服务单位不得允许个人上载时政类视听新闻节目，在提供播客、视频分享等上载传播视听节目服务时，应当提示上载者不得上载违反本规定的视听节目。任何单位和个人不得转播、链接、聚合、集成非法的广播电视频道、视听节目网站的节目。</w:t>
                  </w:r>
                </w:p>
                <w:p w14:paraId="39680A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第十八条  广播电影电视主管部门发现互联网视听节目服务单位传播违反本规定的视听节目，应当采取必要措施予以制止。互联网视听节目服务单位对含有违反本规定内容的视听节目，应当立即删除，并保存有关记录，履行报告义务，落实有关主管部门的管理要求。</w:t>
                  </w:r>
                </w:p>
                <w:p w14:paraId="467793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互联网视听节目服务单位主要出资者和经营者应对播出和上载的视听节目内容负责。</w:t>
                  </w:r>
                </w:p>
                <w:p w14:paraId="445AC6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第十九条  互联网视听节目服务单位应当选择依法取得互联网接入服务电信业务经营许可证或广播电视节目传送业务经营许可证的网络运营单位提供服务;应当依法维护用户权利，履行对用户的承诺，对用户信息保密,不得进行虚假宣传或误导用户、做出对用户不公平不合理的规定、损害用户的合法权益；提供有偿服务时，应当以显著方式公布所提供服务的视听节目种类、范围、资费标准和时限，并告知用户中止或者取消互联网视听节目服务的条件和方式。</w:t>
                  </w:r>
                </w:p>
                <w:p w14:paraId="158E6C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第二十条  网络运营单位提供互联网视听节目信号传输服务时，应当保障视听节目服务单位的合法权益，保证传输安全，不得擅自插播、截留视听节目信号;在提供服务前应当查验视听节目服务单位的《许可证》或备案证明材料，按照《许可证》载明事项或备案范围提供接入服务。</w:t>
                  </w:r>
                </w:p>
                <w:p w14:paraId="1531BB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第二十一条  广播电影电视和电信主管部门应建立公众监督举报制度。公众有权举报视听节目服务单位的违法违规行为，有关主管部门应当及时处理，不得推诿。广播电影电视、电信等监督管理部门发现违反本规定的行为，不属于本部门职责的，应当移交有权处理的部门处理。</w:t>
                  </w:r>
                </w:p>
                <w:p w14:paraId="3D2F3B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电信主管部门应当依照国家有关规定向广播电影电视主管部门提供必要的技术系统接口和网站数据查询资料。</w:t>
                  </w:r>
                </w:p>
                <w:p w14:paraId="19BAFD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第二十二条  广播电影电视主管部门依法对互联网视听节目服务单位进行实地检查，有关单位和个人应当予以配合。广播电影电视主管部门工作人员依法进行实地检查时应当主动出示有关证件。</w:t>
                  </w:r>
                </w:p>
                <w:p w14:paraId="613057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第二十三条  违反本规定有下列行为之一的，由县级以上广播电影电视主管部门予以警告、责令改正，可并处3万元以下罚款；同时，可对其主要出资者和经营者予以警告，可并处2万元以下罚款：</w:t>
                  </w:r>
                </w:p>
                <w:p w14:paraId="196364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（一）擅自在互联网上使用广播电视专有名称开展业务的；</w:t>
                  </w:r>
                </w:p>
                <w:p w14:paraId="1C421C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（二）变更股东、股权结构，或上市融资，或重大资产变动时，未办理审批手续的；</w:t>
                  </w:r>
                </w:p>
                <w:p w14:paraId="32E0D6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（三）未建立健全节目运营规范，未采取版权保护措施，或对传播有害内容未履行提示、删除、报告义务的；</w:t>
                  </w:r>
                </w:p>
                <w:p w14:paraId="7A2DE7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（四）未在播出界面显著位置标注播出标识、名称、《许可证》和备案编号的；</w:t>
                  </w:r>
                </w:p>
                <w:p w14:paraId="623572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（五）未履行保留节目记录、向主管部门如实提供查询义务的；</w:t>
                  </w:r>
                </w:p>
                <w:p w14:paraId="24DA5C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（六）向未持有《许可证》或备案的单位提供代收费及信号传输、服务器托管等与互联网视听节目服务有关的服务的；</w:t>
                  </w:r>
                </w:p>
                <w:p w14:paraId="1E18F0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（七）未履行查验义务，或向互联网视听节目服务单位提供其《许可证》或备案载明事项范围以外的接入服务的；</w:t>
                  </w:r>
                </w:p>
                <w:p w14:paraId="44AC0F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（八）进行虚假宣传或者误导用户的；</w:t>
                  </w:r>
                </w:p>
                <w:p w14:paraId="15D962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（九）未经用户同意，擅自泄露用户信息秘密的；</w:t>
                  </w:r>
                </w:p>
                <w:p w14:paraId="1CA38C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（十）互联网视听服务单位在同一年度内三次出现违规行为的；</w:t>
                  </w:r>
                </w:p>
                <w:p w14:paraId="1B7CD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（十一）拒绝、阻挠、拖延广播电影电视主管部门依法进行监督检查或者在监督检查过程中弄虚作假的；</w:t>
                  </w:r>
                </w:p>
                <w:p w14:paraId="2DD4B0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（十二）以虚假证明、文件等手段骗取《许可证》的。</w:t>
                  </w:r>
                </w:p>
                <w:p w14:paraId="036DFA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有本条第十二项行为的，发证机关应撤销其许可证。</w:t>
                  </w:r>
                </w:p>
                <w:p w14:paraId="11BB8A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第二十四条  擅自从事互联网视听节目服务的，由县级以上广播电影电视主管部门予以警告、责令改正，可并处3万元以下罚款；情节严重的，根据《广播电视管理条例》第四十七条的规定予以处罚。</w:t>
                  </w:r>
                </w:p>
                <w:p w14:paraId="62C465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传播的视听节目内容违反本规定的，由县级以上广播电影电视主管部门予以警告、责令改正，可并处3万元以下罚款；情节严重的，根据《广播电视管理条例》第四十九条的规定予以处罚。</w:t>
                  </w:r>
                </w:p>
                <w:p w14:paraId="3F670B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未按照许可证载明或备案的事项从事互联网视听节目服务的或违规播出时政类视听新闻节目的，由县级以上广播电影电视主管部门予以警告、责令改正，可并处3万元以下罚款；情节严重的，根据《广播电视管理条例》第五十条之规定予以处罚。</w:t>
                  </w:r>
                </w:p>
                <w:p w14:paraId="0082C0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转播、链接、聚合、集成非法的广播电视频道和视听节目网站内容的，擅自插播、截留视听节目信号的，由县级以上广播电影电视主管部门予以警告、责令改正，可并处3万元以下罚款；情节严重的，根据《广播电视管理条例》第五十一条之规定予以处罚。</w:t>
                  </w:r>
                </w:p>
                <w:p w14:paraId="3A2CBC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第二十五条  对违反本规定的互联网视听节目服务单位，电信主管部门应根据广播电影电视主管部门的书面意见，按照电信管理和互联网管理的法律、行政法规的规定，关闭其网站，吊销其相应许可证或撤销备案，责令为其提供信号接入服务的网络运营单位停止接入；拒不执行停止接入服务决定，违反《电信条例》第五十七条规定的，由电信主管部门依据《电信条例》第七十八条的规定吊销其许可证。</w:t>
                  </w:r>
                </w:p>
                <w:p w14:paraId="49FD2B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违反治安管理规定的，由公安机关依法予以处罚；构成犯罪的，由司法机关依法追究刑事责任。</w:t>
                  </w:r>
                </w:p>
                <w:p w14:paraId="5EFB77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第二十六条  广播电影电视、电信等主管部门不履行规定的职责，或滥用职权的，要依法给予有关责任人处分，构成犯罪的，由司法机关依法追究刑事责任。</w:t>
                  </w:r>
                </w:p>
                <w:p w14:paraId="7A4A24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第二十七条  互联网视听节目服务单位出现重大违法违规行为的，除按有关规定予以处罚外，其主要出资者和经营者自互联网视听节目服务单位受到处罚之日起5年内不得投资和从事互联网视听节目服务。</w:t>
                  </w:r>
                </w:p>
                <w:p w14:paraId="656642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第二十八条  通过互联网提供视音频即时通讯服务，由国务院信息产业主管部门按照国家有关规定进行监督管理。</w:t>
                  </w:r>
                </w:p>
                <w:p w14:paraId="6C3F17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利用局域网络及利用互联网架设虚拟专网向公众提供网络视听节目服务，须向行业主管部门提出申请，由国务院信息产业主管部门前置审批，国务院广播电影电视主管部门审核批准，按照国家有关规定进行监督管理。</w:t>
                  </w:r>
                </w:p>
                <w:p w14:paraId="0B4E4F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280"/>
                    <w:jc w:val="both"/>
                    <w:rPr>
                      <w:rFonts w:hint="eastAsia" w:ascii="微软雅黑" w:hAnsi="微软雅黑" w:eastAsia="微软雅黑" w:cs="微软雅黑"/>
                      <w:color w:val="333333"/>
                      <w:u w:val="none"/>
                    </w:rPr>
                  </w:pPr>
                  <w:r>
                    <w:rPr>
                      <w:rFonts w:hint="eastAsia" w:ascii="微软雅黑" w:hAnsi="微软雅黑" w:eastAsia="微软雅黑" w:cs="微软雅黑"/>
                      <w:color w:val="333333"/>
                      <w:u w:val="none"/>
                    </w:rPr>
                    <w:t>第二十九条  本规定自2008年1月31日起施行。此前发布的规定与本规定不一致之处，依本规定执行。</w:t>
                  </w:r>
                </w:p>
              </w:tc>
            </w:tr>
          </w:tbl>
          <w:p w14:paraId="622C3BCB">
            <w:pPr>
              <w:jc w:val="center"/>
              <w:rPr>
                <w:rFonts w:hint="eastAsia" w:ascii="微软雅黑" w:hAnsi="微软雅黑" w:eastAsia="微软雅黑" w:cs="微软雅黑"/>
                <w:i w:val="0"/>
                <w:iCs w:val="0"/>
                <w:caps w:val="0"/>
                <w:color w:val="000000"/>
                <w:spacing w:val="0"/>
                <w:sz w:val="27"/>
                <w:szCs w:val="27"/>
                <w:u w:val="none"/>
              </w:rPr>
            </w:pPr>
          </w:p>
        </w:tc>
      </w:tr>
    </w:tbl>
    <w:p w14:paraId="15293730">
      <w:r>
        <w:rPr>
          <w:rFonts w:hint="eastAsia"/>
        </w:rPr>
        <w:t>https://www.nrta.gov.cn/art/2015/5/21/art_1588_43750.html</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ZDE5ZjViNDgxYTY4NjYyYjUxMWJlOGQ5YjBlNTUifQ=="/>
  </w:docVars>
  <w:rsids>
    <w:rsidRoot w:val="00000000"/>
    <w:rsid w:val="3E4E7D76"/>
    <w:rsid w:val="7C0B4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6037</Words>
  <Characters>6080</Characters>
  <Lines>0</Lines>
  <Paragraphs>0</Paragraphs>
  <TotalTime>0</TotalTime>
  <ScaleCrop>false</ScaleCrop>
  <LinksUpToDate>false</LinksUpToDate>
  <CharactersWithSpaces>6158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2024-07-23T05:31:00Z</dcterms:created>
  <dc:creator>Administrator</dc:creator>
  <cp:lastModifiedBy>云落</cp:lastModifiedBy>
  <dcterms:modified xsi:type="dcterms:W3CDTF">2024-07-23T05:32:56Z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66B7B04EA84A480F81E822EB128FAD3F_12</vt:lpwstr>
  </property>
</Properties>
</file>