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jc w:val="center"/>
        <w:tblCellSpacing w:w="7" w:type="dxa"/>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Layout w:type="autofit"/>
        <w:tblCellMar>
          <w:top w:w="0" w:type="dxa"/>
          <w:left w:w="0" w:type="dxa"/>
          <w:bottom w:w="0" w:type="dxa"/>
          <w:right w:w="0" w:type="dxa"/>
        </w:tblCellMar>
      </w:tblPr>
      <w:tblGrid>
        <w:gridCol w:w="8714"/>
      </w:tblGrid>
      <w:tr w14:paraId="65D5B909">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0" w:type="dxa"/>
            <w:left w:w="0" w:type="dxa"/>
            <w:bottom w:w="0" w:type="dxa"/>
            <w:right w:w="0" w:type="dxa"/>
          </w:tblCellMar>
        </w:tblPrEx>
        <w:trPr>
          <w:tblCellSpacing w:w="7" w:type="dxa"/>
          <w:jc w:val="center"/>
        </w:trPr>
        <w:tc>
          <w:tcPr>
            <w:tcW w:w="11013" w:type="dxa"/>
            <w:shd w:val="clear"/>
            <w:tcMar>
              <w:top w:w="180" w:type="dxa"/>
              <w:left w:w="180" w:type="dxa"/>
              <w:bottom w:w="180" w:type="dxa"/>
              <w:right w:w="180" w:type="dxa"/>
            </w:tcMar>
            <w:vAlign w:val="center"/>
          </w:tcPr>
          <w:p w14:paraId="36E132C3">
            <w:pPr>
              <w:rPr>
                <w:rFonts w:hint="eastAsia" w:ascii="微软雅黑" w:hAnsi="微软雅黑" w:eastAsia="微软雅黑" w:cs="微软雅黑"/>
                <w:i w:val="0"/>
                <w:iCs w:val="0"/>
                <w:caps w:val="0"/>
                <w:color w:val="000000"/>
                <w:spacing w:val="0"/>
                <w:sz w:val="27"/>
                <w:szCs w:val="27"/>
                <w:u w:val="none"/>
              </w:rPr>
            </w:pPr>
          </w:p>
        </w:tc>
      </w:tr>
      <w:tr w14:paraId="7FC5FF98">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0" w:type="dxa"/>
            <w:left w:w="0" w:type="dxa"/>
            <w:bottom w:w="0" w:type="dxa"/>
            <w:right w:w="0" w:type="dxa"/>
          </w:tblCellMar>
        </w:tblPrEx>
        <w:trPr>
          <w:tblCellSpacing w:w="7" w:type="dxa"/>
          <w:jc w:val="center"/>
        </w:trPr>
        <w:tc>
          <w:tcPr>
            <w:tcW w:w="0" w:type="auto"/>
            <w:shd w:val="clear"/>
            <w:tcMar>
              <w:top w:w="0" w:type="dxa"/>
              <w:left w:w="0" w:type="dxa"/>
              <w:bottom w:w="0" w:type="dxa"/>
              <w:right w:w="0" w:type="dxa"/>
            </w:tcMar>
            <w:vAlign w:val="center"/>
          </w:tcPr>
          <w:p w14:paraId="3FB902BC">
            <w:pPr>
              <w:keepNext w:val="0"/>
              <w:keepLines w:val="0"/>
              <w:widowControl/>
              <w:suppressLineNumbers w:val="0"/>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000000"/>
                <w:spacing w:val="0"/>
                <w:sz w:val="38"/>
                <w:szCs w:val="38"/>
                <w:u w:val="none"/>
              </w:rPr>
            </w:pPr>
            <w:r>
              <w:rPr>
                <w:rFonts w:hint="eastAsia" w:ascii="微软雅黑" w:hAnsi="微软雅黑" w:eastAsia="微软雅黑" w:cs="微软雅黑"/>
                <w:i w:val="0"/>
                <w:iCs w:val="0"/>
                <w:caps w:val="0"/>
                <w:color w:val="000000"/>
                <w:spacing w:val="0"/>
                <w:kern w:val="0"/>
                <w:sz w:val="38"/>
                <w:szCs w:val="38"/>
                <w:u w:val="none"/>
                <w:bdr w:val="none" w:color="auto" w:sz="0" w:space="0"/>
                <w:lang w:val="en-US" w:eastAsia="zh-CN" w:bidi="ar"/>
              </w:rPr>
              <w:t>专网及定向传播视听节目服务管理规定</w:t>
            </w:r>
          </w:p>
        </w:tc>
      </w:tr>
      <w:tr w14:paraId="664CC682">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0" w:type="dxa"/>
            <w:left w:w="0" w:type="dxa"/>
            <w:bottom w:w="0" w:type="dxa"/>
            <w:right w:w="0" w:type="dxa"/>
          </w:tblCellMar>
        </w:tblPrEx>
        <w:trPr>
          <w:tblCellSpacing w:w="7" w:type="dxa"/>
          <w:jc w:val="center"/>
        </w:trPr>
        <w:tc>
          <w:tcPr>
            <w:tcW w:w="4500" w:type="pct"/>
            <w:shd w:val="clear"/>
            <w:tcMar>
              <w:top w:w="100" w:type="dxa"/>
              <w:left w:w="0" w:type="dxa"/>
              <w:bottom w:w="100" w:type="dxa"/>
              <w:right w:w="0" w:type="dxa"/>
            </w:tcMar>
            <w:vAlign w:val="center"/>
          </w:tcPr>
          <w:p w14:paraId="70448988">
            <w:pPr>
              <w:keepNext w:val="0"/>
              <w:keepLines w:val="0"/>
              <w:widowControl/>
              <w:suppressLineNumbers w:val="0"/>
              <w:pBdr>
                <w:top w:val="single" w:color="DCDCDC" w:sz="8" w:space="0"/>
                <w:left w:val="single" w:color="DCDCDC" w:sz="8" w:space="0"/>
                <w:bottom w:val="single" w:color="DCDCDC" w:sz="8" w:space="0"/>
                <w:right w:val="single" w:color="DCDCDC" w:sz="8" w:space="0"/>
              </w:pBdr>
              <w:spacing w:before="0" w:beforeAutospacing="0" w:after="0" w:afterAutospacing="0"/>
              <w:ind w:left="0" w:right="0"/>
              <w:rPr>
                <w:rFonts w:hint="eastAsia" w:ascii="微软雅黑" w:hAnsi="微软雅黑" w:eastAsia="微软雅黑" w:cs="微软雅黑"/>
                <w:color w:val="DDDDDD"/>
                <w:u w:val="none"/>
              </w:rPr>
            </w:pPr>
            <w:r>
              <w:rPr>
                <w:sz w:val="24"/>
                <w:szCs w:val="24"/>
              </w:rPr>
              <w:pict>
                <v:rect id="_x0000_i1025" o:spt="1" style="height:0.75pt;width:433.55pt;" fillcolor="#DDDDDD" filled="t" stroked="f" coordsize="21600,21600" o:hr="t" o:hrstd="t" o:hrnoshade="t" o:hralign="center">
                  <v:path/>
                  <v:fill on="t" focussize="0,0"/>
                  <v:stroke on="f"/>
                  <v:imagedata o:title=""/>
                  <o:lock v:ext="edit"/>
                  <w10:wrap type="none"/>
                  <w10:anchorlock/>
                </v:rect>
              </w:pict>
            </w:r>
          </w:p>
          <w:tbl>
            <w:tblPr>
              <w:tblW w:w="4500" w:type="pct"/>
              <w:jc w:val="center"/>
              <w:tblCellSpacing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736"/>
              <w:gridCol w:w="37"/>
              <w:gridCol w:w="1844"/>
              <w:gridCol w:w="2182"/>
            </w:tblGrid>
            <w:tr w14:paraId="5843D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blCellSpacing w:w="15" w:type="dxa"/>
                <w:jc w:val="center"/>
              </w:trPr>
              <w:tc>
                <w:tcPr>
                  <w:tcW w:w="0" w:type="auto"/>
                  <w:shd w:val="clear"/>
                  <w:vAlign w:val="center"/>
                </w:tcPr>
                <w:p w14:paraId="2D0469C2">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666666"/>
                      <w:u w:val="none"/>
                    </w:rPr>
                  </w:pPr>
                  <w:r>
                    <w:rPr>
                      <w:rFonts w:hint="eastAsia" w:ascii="微软雅黑" w:hAnsi="微软雅黑" w:eastAsia="微软雅黑" w:cs="微软雅黑"/>
                      <w:color w:val="666666"/>
                      <w:kern w:val="0"/>
                      <w:sz w:val="24"/>
                      <w:szCs w:val="24"/>
                      <w:u w:val="none"/>
                      <w:bdr w:val="none" w:color="auto" w:sz="0" w:space="0"/>
                      <w:lang w:val="en-US" w:eastAsia="zh-CN" w:bidi="ar"/>
                    </w:rPr>
                    <w:t>发布日期：2018-05-04 14:17</w:t>
                  </w:r>
                </w:p>
              </w:tc>
              <w:tc>
                <w:tcPr>
                  <w:tcW w:w="0" w:type="auto"/>
                  <w:shd w:val="clear"/>
                  <w:vAlign w:val="center"/>
                </w:tcPr>
                <w:p w14:paraId="650151AE">
                  <w:pPr>
                    <w:jc w:val="center"/>
                    <w:rPr>
                      <w:rFonts w:hint="eastAsia" w:ascii="微软雅黑" w:hAnsi="微软雅黑" w:eastAsia="微软雅黑" w:cs="微软雅黑"/>
                      <w:color w:val="666666"/>
                      <w:sz w:val="24"/>
                      <w:szCs w:val="24"/>
                      <w:u w:val="none"/>
                    </w:rPr>
                  </w:pPr>
                </w:p>
              </w:tc>
              <w:tc>
                <w:tcPr>
                  <w:tcW w:w="0" w:type="auto"/>
                  <w:shd w:val="clear"/>
                  <w:vAlign w:val="center"/>
                </w:tcPr>
                <w:p w14:paraId="08ADC7B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666666"/>
                      <w:u w:val="none"/>
                    </w:rPr>
                  </w:pPr>
                  <w:r>
                    <w:rPr>
                      <w:rFonts w:hint="eastAsia" w:ascii="微软雅黑" w:hAnsi="微软雅黑" w:eastAsia="微软雅黑" w:cs="微软雅黑"/>
                      <w:color w:val="666666"/>
                      <w:kern w:val="0"/>
                      <w:sz w:val="24"/>
                      <w:szCs w:val="24"/>
                      <w:u w:val="none"/>
                      <w:bdr w:val="none" w:color="auto" w:sz="0" w:space="0"/>
                      <w:lang w:val="en-US" w:eastAsia="zh-CN" w:bidi="ar"/>
                    </w:rPr>
                    <w:t>字体：[ </w:t>
                  </w:r>
                  <w:r>
                    <w:rPr>
                      <w:rFonts w:hint="eastAsia" w:ascii="微软雅黑" w:hAnsi="微软雅黑" w:eastAsia="微软雅黑" w:cs="微软雅黑"/>
                      <w:color w:val="333333"/>
                      <w:kern w:val="0"/>
                      <w:sz w:val="14"/>
                      <w:szCs w:val="14"/>
                      <w:u w:val="none"/>
                      <w:bdr w:val="none" w:color="auto" w:sz="0" w:space="0"/>
                      <w:lang w:val="en-US" w:eastAsia="zh-CN" w:bidi="ar"/>
                    </w:rPr>
                    <w:fldChar w:fldCharType="begin"/>
                  </w:r>
                  <w:r>
                    <w:rPr>
                      <w:rFonts w:hint="eastAsia" w:ascii="微软雅黑" w:hAnsi="微软雅黑" w:eastAsia="微软雅黑" w:cs="微软雅黑"/>
                      <w:color w:val="333333"/>
                      <w:kern w:val="0"/>
                      <w:sz w:val="14"/>
                      <w:szCs w:val="14"/>
                      <w:u w:val="none"/>
                      <w:bdr w:val="none" w:color="auto" w:sz="0" w:space="0"/>
                      <w:lang w:val="en-US" w:eastAsia="zh-CN" w:bidi="ar"/>
                    </w:rPr>
                    <w:instrText xml:space="preserve"> HYPERLINK "javascript:doZoom(18)" </w:instrText>
                  </w:r>
                  <w:r>
                    <w:rPr>
                      <w:rFonts w:hint="eastAsia" w:ascii="微软雅黑" w:hAnsi="微软雅黑" w:eastAsia="微软雅黑" w:cs="微软雅黑"/>
                      <w:color w:val="333333"/>
                      <w:kern w:val="0"/>
                      <w:sz w:val="14"/>
                      <w:szCs w:val="14"/>
                      <w:u w:val="none"/>
                      <w:bdr w:val="none" w:color="auto" w:sz="0" w:space="0"/>
                      <w:lang w:val="en-US" w:eastAsia="zh-CN" w:bidi="ar"/>
                    </w:rPr>
                    <w:fldChar w:fldCharType="separate"/>
                  </w:r>
                  <w:r>
                    <w:rPr>
                      <w:rStyle w:val="6"/>
                      <w:rFonts w:hint="eastAsia" w:ascii="微软雅黑" w:hAnsi="微软雅黑" w:eastAsia="微软雅黑" w:cs="微软雅黑"/>
                      <w:color w:val="333333"/>
                      <w:sz w:val="14"/>
                      <w:szCs w:val="14"/>
                      <w:u w:val="none"/>
                      <w:bdr w:val="none" w:color="auto" w:sz="0" w:space="0"/>
                    </w:rPr>
                    <w:t>大</w:t>
                  </w:r>
                  <w:r>
                    <w:rPr>
                      <w:rFonts w:hint="eastAsia" w:ascii="微软雅黑" w:hAnsi="微软雅黑" w:eastAsia="微软雅黑" w:cs="微软雅黑"/>
                      <w:color w:val="333333"/>
                      <w:kern w:val="0"/>
                      <w:sz w:val="14"/>
                      <w:szCs w:val="14"/>
                      <w:u w:val="none"/>
                      <w:bdr w:val="none" w:color="auto" w:sz="0" w:space="0"/>
                      <w:lang w:val="en-US" w:eastAsia="zh-CN" w:bidi="ar"/>
                    </w:rPr>
                    <w:fldChar w:fldCharType="end"/>
                  </w:r>
                  <w:r>
                    <w:rPr>
                      <w:rFonts w:hint="eastAsia" w:ascii="微软雅黑" w:hAnsi="微软雅黑" w:eastAsia="微软雅黑" w:cs="微软雅黑"/>
                      <w:color w:val="666666"/>
                      <w:kern w:val="0"/>
                      <w:sz w:val="24"/>
                      <w:szCs w:val="24"/>
                      <w:u w:val="none"/>
                      <w:bdr w:val="none" w:color="auto" w:sz="0" w:space="0"/>
                      <w:lang w:val="en-US" w:eastAsia="zh-CN" w:bidi="ar"/>
                    </w:rPr>
                    <w:t> </w:t>
                  </w:r>
                  <w:r>
                    <w:rPr>
                      <w:rFonts w:hint="eastAsia" w:ascii="微软雅黑" w:hAnsi="微软雅黑" w:eastAsia="微软雅黑" w:cs="微软雅黑"/>
                      <w:color w:val="333333"/>
                      <w:kern w:val="0"/>
                      <w:sz w:val="14"/>
                      <w:szCs w:val="14"/>
                      <w:u w:val="none"/>
                      <w:bdr w:val="none" w:color="auto" w:sz="0" w:space="0"/>
                      <w:lang w:val="en-US" w:eastAsia="zh-CN" w:bidi="ar"/>
                    </w:rPr>
                    <w:fldChar w:fldCharType="begin"/>
                  </w:r>
                  <w:r>
                    <w:rPr>
                      <w:rFonts w:hint="eastAsia" w:ascii="微软雅黑" w:hAnsi="微软雅黑" w:eastAsia="微软雅黑" w:cs="微软雅黑"/>
                      <w:color w:val="333333"/>
                      <w:kern w:val="0"/>
                      <w:sz w:val="14"/>
                      <w:szCs w:val="14"/>
                      <w:u w:val="none"/>
                      <w:bdr w:val="none" w:color="auto" w:sz="0" w:space="0"/>
                      <w:lang w:val="en-US" w:eastAsia="zh-CN" w:bidi="ar"/>
                    </w:rPr>
                    <w:instrText xml:space="preserve"> HYPERLINK "javascript:doZoom(16)" </w:instrText>
                  </w:r>
                  <w:r>
                    <w:rPr>
                      <w:rFonts w:hint="eastAsia" w:ascii="微软雅黑" w:hAnsi="微软雅黑" w:eastAsia="微软雅黑" w:cs="微软雅黑"/>
                      <w:color w:val="333333"/>
                      <w:kern w:val="0"/>
                      <w:sz w:val="14"/>
                      <w:szCs w:val="14"/>
                      <w:u w:val="none"/>
                      <w:bdr w:val="none" w:color="auto" w:sz="0" w:space="0"/>
                      <w:lang w:val="en-US" w:eastAsia="zh-CN" w:bidi="ar"/>
                    </w:rPr>
                    <w:fldChar w:fldCharType="separate"/>
                  </w:r>
                  <w:r>
                    <w:rPr>
                      <w:rStyle w:val="6"/>
                      <w:rFonts w:hint="eastAsia" w:ascii="微软雅黑" w:hAnsi="微软雅黑" w:eastAsia="微软雅黑" w:cs="微软雅黑"/>
                      <w:color w:val="333333"/>
                      <w:sz w:val="14"/>
                      <w:szCs w:val="14"/>
                      <w:u w:val="none"/>
                      <w:bdr w:val="none" w:color="auto" w:sz="0" w:space="0"/>
                    </w:rPr>
                    <w:t>中</w:t>
                  </w:r>
                  <w:r>
                    <w:rPr>
                      <w:rFonts w:hint="eastAsia" w:ascii="微软雅黑" w:hAnsi="微软雅黑" w:eastAsia="微软雅黑" w:cs="微软雅黑"/>
                      <w:color w:val="333333"/>
                      <w:kern w:val="0"/>
                      <w:sz w:val="14"/>
                      <w:szCs w:val="14"/>
                      <w:u w:val="none"/>
                      <w:bdr w:val="none" w:color="auto" w:sz="0" w:space="0"/>
                      <w:lang w:val="en-US" w:eastAsia="zh-CN" w:bidi="ar"/>
                    </w:rPr>
                    <w:fldChar w:fldCharType="end"/>
                  </w:r>
                  <w:r>
                    <w:rPr>
                      <w:rFonts w:hint="eastAsia" w:ascii="微软雅黑" w:hAnsi="微软雅黑" w:eastAsia="微软雅黑" w:cs="微软雅黑"/>
                      <w:color w:val="666666"/>
                      <w:kern w:val="0"/>
                      <w:sz w:val="24"/>
                      <w:szCs w:val="24"/>
                      <w:u w:val="none"/>
                      <w:bdr w:val="none" w:color="auto" w:sz="0" w:space="0"/>
                      <w:lang w:val="en-US" w:eastAsia="zh-CN" w:bidi="ar"/>
                    </w:rPr>
                    <w:t> </w:t>
                  </w:r>
                  <w:r>
                    <w:rPr>
                      <w:rFonts w:hint="eastAsia" w:ascii="微软雅黑" w:hAnsi="微软雅黑" w:eastAsia="微软雅黑" w:cs="微软雅黑"/>
                      <w:color w:val="333333"/>
                      <w:kern w:val="0"/>
                      <w:sz w:val="14"/>
                      <w:szCs w:val="14"/>
                      <w:u w:val="none"/>
                      <w:bdr w:val="none" w:color="auto" w:sz="0" w:space="0"/>
                      <w:lang w:val="en-US" w:eastAsia="zh-CN" w:bidi="ar"/>
                    </w:rPr>
                    <w:fldChar w:fldCharType="begin"/>
                  </w:r>
                  <w:r>
                    <w:rPr>
                      <w:rFonts w:hint="eastAsia" w:ascii="微软雅黑" w:hAnsi="微软雅黑" w:eastAsia="微软雅黑" w:cs="微软雅黑"/>
                      <w:color w:val="333333"/>
                      <w:kern w:val="0"/>
                      <w:sz w:val="14"/>
                      <w:szCs w:val="14"/>
                      <w:u w:val="none"/>
                      <w:bdr w:val="none" w:color="auto" w:sz="0" w:space="0"/>
                      <w:lang w:val="en-US" w:eastAsia="zh-CN" w:bidi="ar"/>
                    </w:rPr>
                    <w:instrText xml:space="preserve"> HYPERLINK "javascript:doZoom(14)" </w:instrText>
                  </w:r>
                  <w:r>
                    <w:rPr>
                      <w:rFonts w:hint="eastAsia" w:ascii="微软雅黑" w:hAnsi="微软雅黑" w:eastAsia="微软雅黑" w:cs="微软雅黑"/>
                      <w:color w:val="333333"/>
                      <w:kern w:val="0"/>
                      <w:sz w:val="14"/>
                      <w:szCs w:val="14"/>
                      <w:u w:val="none"/>
                      <w:bdr w:val="none" w:color="auto" w:sz="0" w:space="0"/>
                      <w:lang w:val="en-US" w:eastAsia="zh-CN" w:bidi="ar"/>
                    </w:rPr>
                    <w:fldChar w:fldCharType="separate"/>
                  </w:r>
                  <w:r>
                    <w:rPr>
                      <w:rStyle w:val="6"/>
                      <w:rFonts w:hint="eastAsia" w:ascii="微软雅黑" w:hAnsi="微软雅黑" w:eastAsia="微软雅黑" w:cs="微软雅黑"/>
                      <w:color w:val="333333"/>
                      <w:sz w:val="14"/>
                      <w:szCs w:val="14"/>
                      <w:u w:val="none"/>
                      <w:bdr w:val="none" w:color="auto" w:sz="0" w:space="0"/>
                    </w:rPr>
                    <w:t>小</w:t>
                  </w:r>
                  <w:r>
                    <w:rPr>
                      <w:rFonts w:hint="eastAsia" w:ascii="微软雅黑" w:hAnsi="微软雅黑" w:eastAsia="微软雅黑" w:cs="微软雅黑"/>
                      <w:color w:val="333333"/>
                      <w:kern w:val="0"/>
                      <w:sz w:val="14"/>
                      <w:szCs w:val="14"/>
                      <w:u w:val="none"/>
                      <w:bdr w:val="none" w:color="auto" w:sz="0" w:space="0"/>
                      <w:lang w:val="en-US" w:eastAsia="zh-CN" w:bidi="ar"/>
                    </w:rPr>
                    <w:fldChar w:fldCharType="end"/>
                  </w:r>
                  <w:r>
                    <w:rPr>
                      <w:rFonts w:hint="eastAsia" w:ascii="微软雅黑" w:hAnsi="微软雅黑" w:eastAsia="微软雅黑" w:cs="微软雅黑"/>
                      <w:color w:val="666666"/>
                      <w:kern w:val="0"/>
                      <w:sz w:val="24"/>
                      <w:szCs w:val="24"/>
                      <w:u w:val="none"/>
                      <w:bdr w:val="none" w:color="auto" w:sz="0" w:space="0"/>
                      <w:lang w:val="en-US" w:eastAsia="zh-CN" w:bidi="ar"/>
                    </w:rPr>
                    <w:t> ]</w:t>
                  </w:r>
                </w:p>
              </w:tc>
              <w:tc>
                <w:tcPr>
                  <w:tcW w:w="0" w:type="auto"/>
                  <w:shd w:val="clear"/>
                  <w:vAlign w:val="center"/>
                </w:tcPr>
                <w:p w14:paraId="54DDCBD0">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666666"/>
                      <w:u w:val="none"/>
                    </w:rPr>
                  </w:pPr>
                  <w:r>
                    <w:rPr>
                      <w:rFonts w:hint="eastAsia" w:ascii="微软雅黑" w:hAnsi="微软雅黑" w:eastAsia="微软雅黑" w:cs="微软雅黑"/>
                      <w:color w:val="666666"/>
                      <w:kern w:val="0"/>
                      <w:sz w:val="24"/>
                      <w:szCs w:val="24"/>
                      <w:u w:val="none"/>
                      <w:bdr w:val="none" w:color="auto" w:sz="0" w:space="0"/>
                      <w:lang w:val="en-US" w:eastAsia="zh-CN" w:bidi="ar"/>
                    </w:rPr>
                    <w:t>视力保护色：      </w:t>
                  </w:r>
                </w:p>
              </w:tc>
            </w:tr>
          </w:tbl>
          <w:p w14:paraId="2536C7D7">
            <w:pPr>
              <w:spacing w:before="0" w:beforeAutospacing="0" w:after="0" w:afterAutospacing="0"/>
              <w:ind w:left="0" w:right="0"/>
              <w:jc w:val="center"/>
              <w:rPr>
                <w:rFonts w:hint="eastAsia" w:ascii="微软雅黑" w:hAnsi="微软雅黑" w:eastAsia="微软雅黑" w:cs="微软雅黑"/>
                <w:i w:val="0"/>
                <w:iCs w:val="0"/>
                <w:caps w:val="0"/>
                <w:color w:val="000000"/>
                <w:spacing w:val="0"/>
                <w:sz w:val="27"/>
                <w:szCs w:val="27"/>
                <w:u w:val="none"/>
              </w:rPr>
            </w:pPr>
          </w:p>
        </w:tc>
      </w:tr>
      <w:tr w14:paraId="62900AEC">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0" w:type="dxa"/>
            <w:left w:w="0" w:type="dxa"/>
            <w:bottom w:w="0" w:type="dxa"/>
            <w:right w:w="0" w:type="dxa"/>
          </w:tblCellMar>
        </w:tblPrEx>
        <w:trPr>
          <w:tblCellSpacing w:w="7" w:type="dxa"/>
          <w:jc w:val="center"/>
        </w:trPr>
        <w:tc>
          <w:tcPr>
            <w:tcW w:w="0" w:type="auto"/>
            <w:shd w:val="clear"/>
            <w:tcMar>
              <w:top w:w="0" w:type="dxa"/>
              <w:left w:w="0" w:type="dxa"/>
              <w:bottom w:w="0" w:type="dxa"/>
              <w:right w:w="0" w:type="dxa"/>
            </w:tcMar>
            <w:vAlign w:val="center"/>
          </w:tcPr>
          <w:p w14:paraId="7B8906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国家新闻出版广电总局令</w:t>
            </w:r>
          </w:p>
          <w:p w14:paraId="2D27C1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 6 号）</w:t>
            </w:r>
          </w:p>
          <w:p w14:paraId="1D6CDC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both"/>
              <w:rPr>
                <w:rFonts w:hint="eastAsia" w:ascii="微软雅黑" w:hAnsi="微软雅黑" w:eastAsia="微软雅黑" w:cs="微软雅黑"/>
                <w:color w:val="333333"/>
                <w:u w:val="none"/>
              </w:rPr>
            </w:pPr>
          </w:p>
          <w:p w14:paraId="6F9587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《专网及定向传播视听节目服务管理规定》经2015年11月23日国家新闻出版广电总局局务会议审议通过，现予发布，自2016年6月1日起施行。</w:t>
            </w:r>
          </w:p>
          <w:p w14:paraId="458B55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02F244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righ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国家新闻出版广电总局局长：蔡赴朝</w:t>
            </w:r>
          </w:p>
          <w:p w14:paraId="3B2658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righ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2016年4月25日  </w:t>
            </w:r>
          </w:p>
          <w:p w14:paraId="20B571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righ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  </w:t>
            </w:r>
          </w:p>
          <w:p w14:paraId="5DFDF4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专网及定向传播视听节目服务管理规定</w:t>
            </w:r>
          </w:p>
          <w:p w14:paraId="7E2496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（2016年4月25日 国家新闻出版广电总局令第6号公布</w:t>
            </w:r>
          </w:p>
          <w:p w14:paraId="603CA5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根据2021年3月23日《国家广播电视总局关于第二批修改的部门规章的决定》修订）</w:t>
            </w:r>
          </w:p>
          <w:p w14:paraId="67401F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both"/>
              <w:rPr>
                <w:rFonts w:hint="eastAsia" w:ascii="微软雅黑" w:hAnsi="微软雅黑" w:eastAsia="微软雅黑" w:cs="微软雅黑"/>
                <w:color w:val="333333"/>
                <w:u w:val="none"/>
              </w:rPr>
            </w:pPr>
          </w:p>
          <w:p w14:paraId="221BF6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both"/>
              <w:rPr>
                <w:rFonts w:hint="eastAsia" w:ascii="微软雅黑" w:hAnsi="微软雅黑" w:eastAsia="微软雅黑" w:cs="微软雅黑"/>
                <w:color w:val="333333"/>
                <w:u w:val="none"/>
              </w:rPr>
            </w:pPr>
          </w:p>
          <w:p w14:paraId="18C2DE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第一章　总则</w:t>
            </w:r>
          </w:p>
          <w:p w14:paraId="15F2A0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0CFCFE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第一条</w:t>
            </w:r>
            <w:r>
              <w:rPr>
                <w:rFonts w:hint="eastAsia" w:ascii="微软雅黑" w:hAnsi="微软雅黑" w:eastAsia="微软雅黑" w:cs="微软雅黑"/>
                <w:i w:val="0"/>
                <w:iCs w:val="0"/>
                <w:caps w:val="0"/>
                <w:color w:val="333333"/>
                <w:spacing w:val="0"/>
                <w:sz w:val="16"/>
                <w:szCs w:val="16"/>
                <w:u w:val="none"/>
                <w:bdr w:val="none" w:color="auto" w:sz="0" w:space="0"/>
              </w:rPr>
              <w:t>　为规范专网及定向传播视听节目服务秩序，促进行业健康有序发展，保护公众和从业机构的合法权益，维护国家利益和公共利益，根据国家有关规定，制定本规定。</w:t>
            </w:r>
          </w:p>
          <w:p w14:paraId="0A922F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第二条</w:t>
            </w:r>
            <w:r>
              <w:rPr>
                <w:rFonts w:hint="eastAsia" w:ascii="微软雅黑" w:hAnsi="微软雅黑" w:eastAsia="微软雅黑" w:cs="微软雅黑"/>
                <w:i w:val="0"/>
                <w:iCs w:val="0"/>
                <w:caps w:val="0"/>
                <w:color w:val="333333"/>
                <w:spacing w:val="0"/>
                <w:sz w:val="16"/>
                <w:szCs w:val="16"/>
                <w:u w:val="none"/>
                <w:bdr w:val="none" w:color="auto" w:sz="0" w:space="0"/>
              </w:rPr>
              <w:t>　本规定所称专网及定向传播视听节目服务，是指以电视机、手机等各类固定、移动电子设备为接收终端，通过局域网络及利用互联网架设虚拟专网或者以互联网等信息网络为定向传输通道，向公众定向提供广播电视节目等视听节目服务活动，包括以交互式网络电视（IPTV）、专网手机电视、互联网电视等形式从事内容提供、集成播控、传输分发等活动。</w:t>
            </w:r>
          </w:p>
          <w:p w14:paraId="08E9B5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第三条</w:t>
            </w:r>
            <w:r>
              <w:rPr>
                <w:rFonts w:hint="eastAsia" w:ascii="微软雅黑" w:hAnsi="微软雅黑" w:eastAsia="微软雅黑" w:cs="微软雅黑"/>
                <w:i w:val="0"/>
                <w:iCs w:val="0"/>
                <w:caps w:val="0"/>
                <w:color w:val="333333"/>
                <w:spacing w:val="0"/>
                <w:sz w:val="16"/>
                <w:szCs w:val="16"/>
                <w:u w:val="none"/>
                <w:bdr w:val="none" w:color="auto" w:sz="0" w:space="0"/>
              </w:rPr>
              <w:t>　国家广播电视总局负责全国专网及定向传播视听节目服务的监督管理工作。</w:t>
            </w:r>
          </w:p>
          <w:p w14:paraId="55F99A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县级以上地方人民政府广播电视行政部门负责本行政区域内专网及定向传播视听节目服务的监督管理工作。</w:t>
            </w:r>
          </w:p>
          <w:p w14:paraId="518366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第四条</w:t>
            </w:r>
            <w:r>
              <w:rPr>
                <w:rFonts w:hint="eastAsia" w:ascii="微软雅黑" w:hAnsi="微软雅黑" w:eastAsia="微软雅黑" w:cs="微软雅黑"/>
                <w:i w:val="0"/>
                <w:iCs w:val="0"/>
                <w:caps w:val="0"/>
                <w:color w:val="333333"/>
                <w:spacing w:val="0"/>
                <w:sz w:val="16"/>
                <w:szCs w:val="16"/>
                <w:u w:val="none"/>
                <w:bdr w:val="none" w:color="auto" w:sz="0" w:space="0"/>
              </w:rPr>
              <w:t>　从事专网及定向传播视听节目服务，应当坚持为人民服务、为社会主义服务，把社会效益放在首位，弘扬社会主义核心价值观，弘扬民族优秀传统文化，弘扬正能量。</w:t>
            </w:r>
          </w:p>
          <w:p w14:paraId="2F850F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专网及定向传播视听节目服务单位应当自觉遵守宪法、法律和行政法规，提供更多更好的专网及定向传播视听节目服务，不断丰富人民群众的精神文化生活。</w:t>
            </w:r>
          </w:p>
          <w:p w14:paraId="0774D8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鼓励专网及定向传播视听节目服务行业组织发挥行业自律、引导、服务功能，鼓励公众监督专网及定向传播视听节目服务。</w:t>
            </w:r>
          </w:p>
          <w:p w14:paraId="6D7884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1DF895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第二章  专网及定向传播视听节目服务单位的设立</w:t>
            </w:r>
          </w:p>
          <w:p w14:paraId="656A01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61EE52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第五条</w:t>
            </w:r>
            <w:r>
              <w:rPr>
                <w:rFonts w:hint="eastAsia" w:ascii="微软雅黑" w:hAnsi="微软雅黑" w:eastAsia="微软雅黑" w:cs="微软雅黑"/>
                <w:i w:val="0"/>
                <w:iCs w:val="0"/>
                <w:caps w:val="0"/>
                <w:color w:val="333333"/>
                <w:spacing w:val="0"/>
                <w:sz w:val="16"/>
                <w:szCs w:val="16"/>
                <w:u w:val="none"/>
                <w:bdr w:val="none" w:color="auto" w:sz="0" w:space="0"/>
              </w:rPr>
              <w:t>　从事内容提供、集成播控、传输分发等专网及定向传播视听节目服务，应当依照本规定取得《信息网络传播视听节目许可证》。</w:t>
            </w:r>
          </w:p>
          <w:p w14:paraId="144FD1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《信息网络传播视听节目许可证》由国家广播电视总局根据专网及定向传播视听节目服务的业务类别、服务内容、传输网络、覆盖范围等事项分类核发。</w:t>
            </w:r>
          </w:p>
          <w:p w14:paraId="7DCD32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专网及定向传播视听节目服务业务指导目录由国家广播电视总局制定。</w:t>
            </w:r>
          </w:p>
          <w:p w14:paraId="739B48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第六条</w:t>
            </w:r>
            <w:r>
              <w:rPr>
                <w:rFonts w:hint="eastAsia" w:ascii="微软雅黑" w:hAnsi="微软雅黑" w:eastAsia="微软雅黑" w:cs="微软雅黑"/>
                <w:i w:val="0"/>
                <w:iCs w:val="0"/>
                <w:caps w:val="0"/>
                <w:color w:val="333333"/>
                <w:spacing w:val="0"/>
                <w:sz w:val="16"/>
                <w:szCs w:val="16"/>
                <w:u w:val="none"/>
                <w:bdr w:val="none" w:color="auto" w:sz="0" w:space="0"/>
              </w:rPr>
              <w:t>　申请从事专网及定向传播视听节目服务的单位，应当具备下列条件：</w:t>
            </w:r>
          </w:p>
          <w:p w14:paraId="5094A2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（一）具备法人资格，为国有独资或者国有控股单位；</w:t>
            </w:r>
          </w:p>
          <w:p w14:paraId="19E4C9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（二）有健全的节目内容编审、安全传播管理制度和安全保护措施；</w:t>
            </w:r>
          </w:p>
          <w:p w14:paraId="12BB32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（三）有与其业务相适应的技术能力、经营场所和相关资源；</w:t>
            </w:r>
          </w:p>
          <w:p w14:paraId="3A5575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（四）有与其业务相适应的专业人员；</w:t>
            </w:r>
          </w:p>
          <w:p w14:paraId="20F5E1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（五）技术方案符合国家有关标准和技术规范；</w:t>
            </w:r>
          </w:p>
          <w:p w14:paraId="322500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（六）符合国家广播电视总局确定的专网及定向传播视听节目服务总体规划、布局和业务指导目录；</w:t>
            </w:r>
          </w:p>
          <w:p w14:paraId="3446D4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（七）符合法律、行政法规和国家规定的其他条件。</w:t>
            </w:r>
          </w:p>
          <w:p w14:paraId="2419DD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外商投资企业不得从事专网及定向传播视听节目服务。</w:t>
            </w:r>
          </w:p>
          <w:p w14:paraId="0EB283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第七条</w:t>
            </w:r>
            <w:r>
              <w:rPr>
                <w:rFonts w:hint="eastAsia" w:ascii="微软雅黑" w:hAnsi="微软雅黑" w:eastAsia="微软雅黑" w:cs="微软雅黑"/>
                <w:i w:val="0"/>
                <w:iCs w:val="0"/>
                <w:caps w:val="0"/>
                <w:color w:val="333333"/>
                <w:spacing w:val="0"/>
                <w:sz w:val="16"/>
                <w:szCs w:val="16"/>
                <w:u w:val="none"/>
                <w:bdr w:val="none" w:color="auto" w:sz="0" w:space="0"/>
              </w:rPr>
              <w:t>　申请从事内容提供服务的，应当是经国家广播电视总局批准设立的地（市）级以上广播电视播出机构或者中央新闻单位等机构，还应当具备两千小时以上的节目内容储备和三十人以上的专业节目编审人员。</w:t>
            </w:r>
          </w:p>
          <w:p w14:paraId="31F172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申请从事集成播控服务的，应当是经国家广播电视总局批准设立的省、自治区、直辖市级以上广播电视播出机构。</w:t>
            </w:r>
          </w:p>
          <w:p w14:paraId="1DA8BA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申请从事交互式网络电视（IPTV）传输服务、专网手机电视分发服务的，应当是工业和信息化部批准的具有合法基础网络运营资质的单位，并具有一定规模的公共信息基础网络设施资源和为用户提供长期服务的信誉或者能力。</w:t>
            </w:r>
          </w:p>
          <w:p w14:paraId="778E3D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第八条</w:t>
            </w:r>
            <w:r>
              <w:rPr>
                <w:rFonts w:hint="eastAsia" w:ascii="微软雅黑" w:hAnsi="微软雅黑" w:eastAsia="微软雅黑" w:cs="微软雅黑"/>
                <w:i w:val="0"/>
                <w:iCs w:val="0"/>
                <w:caps w:val="0"/>
                <w:color w:val="333333"/>
                <w:spacing w:val="0"/>
                <w:sz w:val="16"/>
                <w:szCs w:val="16"/>
                <w:u w:val="none"/>
                <w:bdr w:val="none" w:color="auto" w:sz="0" w:space="0"/>
              </w:rPr>
              <w:t>　申请从事专网及定向传播视听节目服务，应当向省、自治区、直辖市人民政府广播电视行政部门提出申请，中央直属单位可直接向国家广播电视总局提出申请。</w:t>
            </w:r>
          </w:p>
          <w:p w14:paraId="5C8928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省、自治区、直辖市人民政府广播电视行政部门应当自收到申请之日起二十日内提出初核意见，并将初核意见及全部申请材料报国家广播电视总局审批；国家广播电视总局应当自收到申请或者初核意见之日起四十日内作出许可或者不予许可的决定，其中专家评审时间为二十日。予以许可的，向申请人颁发《信息网络传播视听节目许可证》，并向社会公告；不予许可的，应当书面通知申请人并说明理由。</w:t>
            </w:r>
          </w:p>
          <w:p w14:paraId="1FA16C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第九条</w:t>
            </w:r>
            <w:r>
              <w:rPr>
                <w:rFonts w:hint="eastAsia" w:ascii="微软雅黑" w:hAnsi="微软雅黑" w:eastAsia="微软雅黑" w:cs="微软雅黑"/>
                <w:i w:val="0"/>
                <w:iCs w:val="0"/>
                <w:caps w:val="0"/>
                <w:color w:val="333333"/>
                <w:spacing w:val="0"/>
                <w:sz w:val="16"/>
                <w:szCs w:val="16"/>
                <w:u w:val="none"/>
                <w:bdr w:val="none" w:color="auto" w:sz="0" w:space="0"/>
              </w:rPr>
              <w:t>　《信息网络传播视听节目许可证》有效期为三年。有效期届满，需继续从事专网及定向传播视听节目服务的，应当于有效期届满前三十日内，持符合本规定第六条、第七条条件的相关材料，按照本规定的审批程序办理续办手续。</w:t>
            </w:r>
          </w:p>
          <w:p w14:paraId="7FF8E1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专网及定向传播视听节目服务单位变更《信息网络传播视听节目许可证》载明的业务类别、服务内容、传输网络、覆盖范围等业务项目以及变更股东、股权结构等重大事项的，应当事先按本规定办理审批手续。</w:t>
            </w:r>
          </w:p>
          <w:p w14:paraId="3E4737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专网及定向传播视听节目服务单位的单位名称、办公场所、法定代表人依法变更的，应当在变更后十五日内向原发证机关备案。</w:t>
            </w:r>
          </w:p>
          <w:p w14:paraId="0A8BCC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专网及定向传播视听节目服务单位采用合资、合作模式开展节目生产购销、广告投放、市场推广、商业合作、收付结算、技术服务等经营性业务的，应当在签订合资、合作协议后十五日内向原发证机关备案。</w:t>
            </w:r>
          </w:p>
          <w:p w14:paraId="75F056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第十一条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专网及定向传播视听节目服务单位在专网及定向传播视听节目服务业务指导目录载明的业务类别之外，拟增加新产品或者开展新业务的，应当报国家广播电视总局进行安全评估。</w:t>
            </w:r>
          </w:p>
          <w:p w14:paraId="003836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第十二条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专网及定向传播视听节目服务单位应当在取得《信息网络传播视听节目许可证》九十日内提供服务。未按期提供服务的，由原发证机关注销其《信息网络传播视听节目许可证》。</w:t>
            </w:r>
          </w:p>
          <w:p w14:paraId="34C2F7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如因特殊原因，延期或者中止提供服务的，应当经原发证机关同意。申请终止服务的，应当提前六十日向原发证机关申报，由原发证机关注销其《信息网络传播视听节目许可证》。</w:t>
            </w:r>
          </w:p>
          <w:p w14:paraId="28F5EA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未经申报，连续停止业务超过六十日的，由原发证机关按终止业务处理，并注销其《信息网络传播视听节目许可证》。</w:t>
            </w:r>
          </w:p>
          <w:p w14:paraId="56B9EA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61D9A4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第三章  专网及定向传播视听节目服务规范</w:t>
            </w:r>
          </w:p>
          <w:p w14:paraId="782EBB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7EFD67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第十三条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专网及定向传播视听节目服务单位应当按照《信息网络传播视听节目许可证》载明的事项从事专网及定向传播视听节目服务。</w:t>
            </w:r>
          </w:p>
          <w:p w14:paraId="750845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第十四条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专网及定向传播视听节目服务单位应当建立健全与国家网络信息安全相适应的安全管理制度、保障体系和技术保障手段，履行安全保障义务。</w:t>
            </w:r>
          </w:p>
          <w:p w14:paraId="374BDC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专网及定向传播视听节目服务单位应当为广播电视行政部门设立的节目监控系统提供必要的信号接入条件。</w:t>
            </w:r>
          </w:p>
          <w:p w14:paraId="2902D2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第十五条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专网及定向传播视听节目服务单位相互之间应当按照广播电视行政部门的管理规定和相关标准实行规范对接，并为对接提供必要的技术支持和服务保障。</w:t>
            </w:r>
          </w:p>
          <w:p w14:paraId="4DC656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第十六条</w:t>
            </w:r>
            <w:r>
              <w:rPr>
                <w:rFonts w:hint="eastAsia" w:ascii="微软雅黑" w:hAnsi="微软雅黑" w:eastAsia="微软雅黑" w:cs="微软雅黑"/>
                <w:i w:val="0"/>
                <w:iCs w:val="0"/>
                <w:caps w:val="0"/>
                <w:color w:val="333333"/>
                <w:spacing w:val="0"/>
                <w:sz w:val="16"/>
                <w:szCs w:val="16"/>
                <w:u w:val="none"/>
                <w:bdr w:val="none" w:color="auto" w:sz="0" w:space="0"/>
              </w:rPr>
              <w:t>　用于专网及定向传播视听节目服务的技术系统和终端产品，应当符合国家有关标准和技术规范。</w:t>
            </w:r>
          </w:p>
          <w:p w14:paraId="1CFEE2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任何单位不得向未取得专网及定向传播视听节目服务许可的单位提供与专网及定向传播视听节目服务有关的服务器托管、网络传输、软硬件技术支持、代收费等服务。</w:t>
            </w:r>
          </w:p>
          <w:p w14:paraId="635997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第十七条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专网及定向传播视听节目服务单位传播的节目应当符合法律、行政法规、部门规章的规定，不得含有以下内容：</w:t>
            </w:r>
          </w:p>
          <w:p w14:paraId="75747D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（一）违反宪法确定的基本原则，煽动抗拒或者破坏宪法、法律、行政法规实施的；</w:t>
            </w:r>
          </w:p>
          <w:p w14:paraId="7A89B3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（二）危害国家统一、主权和领土完整，泄露国家秘密，危害国家安全，损害国家荣誉和利益的；</w:t>
            </w:r>
          </w:p>
          <w:p w14:paraId="0918CA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（三）诋毁民族优秀文化传统，煽动民族仇恨、民族歧视，侵害民族风俗习惯，歪曲民族历史和民族历史人物，伤害民族感情，破坏民族团结的；</w:t>
            </w:r>
          </w:p>
          <w:p w14:paraId="672096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（四）宣扬宗教狂热，危害宗教和睦，伤害信教公民宗教感情，破坏信教公民和不信教公民团结，宣扬邪教、迷信的；</w:t>
            </w:r>
          </w:p>
          <w:p w14:paraId="21EF7F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（五）危害社会公德，扰乱社会秩序，破坏社会稳定，宣扬淫秽、赌博、吸毒，渲染暴力、恐怖，教唆犯罪或者传授犯罪方法的；</w:t>
            </w:r>
          </w:p>
          <w:p w14:paraId="557A9F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（六）侵害未成年人合法权益或者损害未成年人身心健康的；</w:t>
            </w:r>
          </w:p>
          <w:p w14:paraId="6F5EB0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（七）侮辱、诽谤他人或者散布他人隐私，侵害他人合法权益的；</w:t>
            </w:r>
          </w:p>
          <w:p w14:paraId="173E06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（八）法律、行政法规禁止的其他内容。</w:t>
            </w:r>
          </w:p>
          <w:p w14:paraId="51DCBF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第十八条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传播的电影、电视剧、动画片、纪录片等节目，应当符合国家广播电影电视相关管理规定。专网及定向传播视听节目服务单位传播的时政类视听新闻节目，应当是地（市）级以上广播电视播出机构制作、播出的新闻节目。</w:t>
            </w:r>
          </w:p>
          <w:p w14:paraId="4A5845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专网及定向传播视听节目服务单位不得转播、链接、聚合、集成非法广播电视频道节目、非法视听节目网站的节目和未取得内容提供服务许可的单位开办的节目。</w:t>
            </w:r>
          </w:p>
          <w:p w14:paraId="14B722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专网及定向传播视听节目服务单位应当遵守著作权法律、行政法规的规定，采取版权保护措施，保护著作权人的合法权益。</w:t>
            </w:r>
          </w:p>
          <w:p w14:paraId="080B3D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第十九条</w:t>
            </w:r>
            <w:r>
              <w:rPr>
                <w:rFonts w:hint="eastAsia" w:ascii="微软雅黑" w:hAnsi="微软雅黑" w:eastAsia="微软雅黑" w:cs="微软雅黑"/>
                <w:i w:val="0"/>
                <w:iCs w:val="0"/>
                <w:caps w:val="0"/>
                <w:color w:val="333333"/>
                <w:spacing w:val="0"/>
                <w:sz w:val="16"/>
                <w:szCs w:val="16"/>
                <w:u w:val="none"/>
                <w:bdr w:val="none" w:color="auto" w:sz="0" w:space="0"/>
              </w:rPr>
              <w:t>　内容提供服务单位，负责建设和运营内容提供平台，组织、编辑和审核节目内容。</w:t>
            </w:r>
          </w:p>
          <w:p w14:paraId="13C1EB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内容提供服务单位播出的节目应当经过集成播控服务单位设立的集成播控平台统一集成后提供给用户。内容提供服务单位应当选择依法取得集成播控服务许可的单位提供接入服务。</w:t>
            </w:r>
          </w:p>
          <w:p w14:paraId="4A4223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第二十条</w:t>
            </w:r>
            <w:r>
              <w:rPr>
                <w:rFonts w:hint="eastAsia" w:ascii="微软雅黑" w:hAnsi="微软雅黑" w:eastAsia="微软雅黑" w:cs="微软雅黑"/>
                <w:i w:val="0"/>
                <w:iCs w:val="0"/>
                <w:caps w:val="0"/>
                <w:color w:val="333333"/>
                <w:spacing w:val="0"/>
                <w:sz w:val="16"/>
                <w:szCs w:val="16"/>
                <w:u w:val="none"/>
                <w:bdr w:val="none" w:color="auto" w:sz="0" w:space="0"/>
              </w:rPr>
              <w:t>　内容提供服务单位负责审查其内容提供平台上的节目是否符合本规定第十七条的规定和版权管理要求，并进行播前审查。</w:t>
            </w:r>
          </w:p>
          <w:p w14:paraId="40A7CB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内容提供服务单位应当建立健全节目审查、安全播出等节目内容管理制度，配备专业节目审查人员。所播出节目的名称、内容概要、播出时间、时长、来源等信息，应当至少保留六十日，并配合广播电视行政部门依法查询。</w:t>
            </w:r>
          </w:p>
          <w:p w14:paraId="30CBF9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内容提供服务单位发现含有违反本规定的节目，应当立即删除并保存有关记录，并向广播电视行政部门报告，落实广播电视行政部门的管理要求。</w:t>
            </w:r>
          </w:p>
          <w:p w14:paraId="68AE79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第二十一条</w:t>
            </w:r>
            <w:r>
              <w:rPr>
                <w:rFonts w:hint="eastAsia" w:ascii="微软雅黑" w:hAnsi="微软雅黑" w:eastAsia="微软雅黑" w:cs="微软雅黑"/>
                <w:i w:val="0"/>
                <w:iCs w:val="0"/>
                <w:caps w:val="0"/>
                <w:color w:val="333333"/>
                <w:spacing w:val="0"/>
                <w:sz w:val="16"/>
                <w:szCs w:val="16"/>
                <w:u w:val="none"/>
                <w:bdr w:val="none" w:color="auto" w:sz="0" w:space="0"/>
              </w:rPr>
              <w:t>　集成播控服务单位，负责集成播控平台的建设和运营，负责对内容提供服务单位播出的节目的统一集成和播出监控，负责电子节目指南（EPG）、用户端、计费、版权等管理。</w:t>
            </w:r>
          </w:p>
          <w:p w14:paraId="6A38DD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集成播控服务单位发现接入集成播控平台的节目含有违反本规定的内容时，应当立即切断节目源，并向广播电视行政部门报告。</w:t>
            </w:r>
          </w:p>
          <w:p w14:paraId="67EF6F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第二十二条</w:t>
            </w:r>
            <w:r>
              <w:rPr>
                <w:rFonts w:hint="eastAsia" w:ascii="微软雅黑" w:hAnsi="微软雅黑" w:eastAsia="微软雅黑" w:cs="微软雅黑"/>
                <w:i w:val="0"/>
                <w:iCs w:val="0"/>
                <w:caps w:val="0"/>
                <w:color w:val="333333"/>
                <w:spacing w:val="0"/>
                <w:sz w:val="16"/>
                <w:szCs w:val="16"/>
                <w:u w:val="none"/>
                <w:bdr w:val="none" w:color="auto" w:sz="0" w:space="0"/>
              </w:rPr>
              <w:t>　集成播控服务单位应当建立健全安全播控管理制度，采取技术安全管控措施，配备专业安全播控管理人员，按照广播电视行政部门的管理规定集成播控节目。</w:t>
            </w:r>
          </w:p>
          <w:p w14:paraId="3198E5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集成播控服务单位在提供接入服务时，应当查验内容提供服务单位的《信息网络传播视听节目许可证》，并为其提供优质的信号接入服务，不得擅自插播、截留、变更内容提供服务单位播出的节目信号。</w:t>
            </w:r>
          </w:p>
          <w:p w14:paraId="280051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第二十三条</w:t>
            </w:r>
            <w:r>
              <w:rPr>
                <w:rFonts w:hint="eastAsia" w:ascii="微软雅黑" w:hAnsi="微软雅黑" w:eastAsia="微软雅黑" w:cs="微软雅黑"/>
                <w:i w:val="0"/>
                <w:iCs w:val="0"/>
                <w:caps w:val="0"/>
                <w:color w:val="333333"/>
                <w:spacing w:val="0"/>
                <w:sz w:val="16"/>
                <w:szCs w:val="16"/>
                <w:u w:val="none"/>
                <w:bdr w:val="none" w:color="auto" w:sz="0" w:space="0"/>
              </w:rPr>
              <w:t>　集成播控服务单位和内容提供服务单位应当在播出界面显著位置标注国家广播电视总局批准的播出标识、名称。</w:t>
            </w:r>
          </w:p>
          <w:p w14:paraId="75C615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第二十四条</w:t>
            </w:r>
            <w:r>
              <w:rPr>
                <w:rFonts w:hint="eastAsia" w:ascii="微软雅黑" w:hAnsi="微软雅黑" w:eastAsia="微软雅黑" w:cs="微软雅黑"/>
                <w:i w:val="0"/>
                <w:iCs w:val="0"/>
                <w:caps w:val="0"/>
                <w:color w:val="333333"/>
                <w:spacing w:val="0"/>
                <w:sz w:val="16"/>
                <w:szCs w:val="16"/>
                <w:u w:val="none"/>
                <w:bdr w:val="none" w:color="auto" w:sz="0" w:space="0"/>
              </w:rPr>
              <w:t>　传输分发服务单位应当遵守广播电视行政部门有关安全传输的管理规定，建立健全安全传输管理制度，保障网络传输安全。</w:t>
            </w:r>
          </w:p>
          <w:p w14:paraId="2384F0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传输分发服务单位在提供传输分发服务前，应当查验集成播控服务单位的《信息网络传播视听节目许可证》。不得擅自插播、截留、变更集成播控平台发出的节目信号和电子节目指南（EPG）、用户端、计费、版权等控制信号。</w:t>
            </w:r>
          </w:p>
          <w:p w14:paraId="7FF81F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第二十五条</w:t>
            </w:r>
            <w:r>
              <w:rPr>
                <w:rFonts w:hint="eastAsia" w:ascii="微软雅黑" w:hAnsi="微软雅黑" w:eastAsia="微软雅黑" w:cs="微软雅黑"/>
                <w:i w:val="0"/>
                <w:iCs w:val="0"/>
                <w:caps w:val="0"/>
                <w:color w:val="333333"/>
                <w:spacing w:val="0"/>
                <w:sz w:val="16"/>
                <w:szCs w:val="16"/>
                <w:u w:val="none"/>
                <w:bdr w:val="none" w:color="auto" w:sz="0" w:space="0"/>
              </w:rPr>
              <w:t>　省、自治区、直辖市以上人民政府广播电视行政部门应当建立健全节目监管系统，建立公众监督举报制度，加强对专网及定向传播视听节目服务的监督管理。</w:t>
            </w:r>
          </w:p>
          <w:p w14:paraId="757499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广播电视行政部门发现专网及定向传播视听节目服务单位未及时处置违法违规内容、落实监管措施的，可以对其主要负责人、法定代表人、总编辑进行约谈。</w:t>
            </w:r>
          </w:p>
          <w:p w14:paraId="0F97EA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6AAF0B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第四章  法律责任</w:t>
            </w:r>
          </w:p>
          <w:p w14:paraId="1ECA9F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22C805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第二十六条</w:t>
            </w:r>
            <w:r>
              <w:rPr>
                <w:rFonts w:hint="eastAsia" w:ascii="微软雅黑" w:hAnsi="微软雅黑" w:eastAsia="微软雅黑" w:cs="微软雅黑"/>
                <w:i w:val="0"/>
                <w:iCs w:val="0"/>
                <w:caps w:val="0"/>
                <w:color w:val="333333"/>
                <w:spacing w:val="0"/>
                <w:sz w:val="16"/>
                <w:szCs w:val="16"/>
                <w:u w:val="none"/>
                <w:bdr w:val="none" w:color="auto" w:sz="0" w:space="0"/>
              </w:rPr>
              <w:t>　擅自从事专网及定向传播视听节目服务的，由县级以上人民政府广播电视行政部门予以警告、责令改正，可并处三万元以下罚款；情节严重的，根据《广播电视管理条例》第四十七条的规定予以处罚。</w:t>
            </w:r>
          </w:p>
          <w:p w14:paraId="47DFA6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第二十七条</w:t>
            </w:r>
            <w:r>
              <w:rPr>
                <w:rFonts w:hint="eastAsia" w:ascii="微软雅黑" w:hAnsi="微软雅黑" w:eastAsia="微软雅黑" w:cs="微软雅黑"/>
                <w:i w:val="0"/>
                <w:iCs w:val="0"/>
                <w:caps w:val="0"/>
                <w:color w:val="333333"/>
                <w:spacing w:val="0"/>
                <w:sz w:val="16"/>
                <w:szCs w:val="16"/>
                <w:u w:val="none"/>
                <w:bdr w:val="none" w:color="auto" w:sz="0" w:space="0"/>
              </w:rPr>
              <w:t>　专网及定向传播视听节目服务单位传播的节目内容违反本规定的，由县级以上人民政府广播电视行政部门予以警告、责令改正，可并处三万元以下罚款；情节严重的，根据《广播电视管理条例》第四十九条的规定予以处罚。</w:t>
            </w:r>
          </w:p>
          <w:p w14:paraId="308018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第二十八条</w:t>
            </w:r>
            <w:r>
              <w:rPr>
                <w:rFonts w:hint="eastAsia" w:ascii="微软雅黑" w:hAnsi="微软雅黑" w:eastAsia="微软雅黑" w:cs="微软雅黑"/>
                <w:i w:val="0"/>
                <w:iCs w:val="0"/>
                <w:caps w:val="0"/>
                <w:color w:val="333333"/>
                <w:spacing w:val="0"/>
                <w:sz w:val="16"/>
                <w:szCs w:val="16"/>
                <w:u w:val="none"/>
                <w:bdr w:val="none" w:color="auto" w:sz="0" w:space="0"/>
              </w:rPr>
              <w:t>　违反本规定，有下列行为之一的，由县级以上人民政府广播电视行政部门予以警告、责令改正，可并处三万元以下罚款；情节严重的，根据《广播电视管理条例》第五十条的规定予以处罚：</w:t>
            </w:r>
          </w:p>
          <w:p w14:paraId="2E03FC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（一）未按照《信息网络传播视听节目许可证》载明的事项从事专网及定向传播视听节目服务的；</w:t>
            </w:r>
          </w:p>
          <w:p w14:paraId="77C300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（二）违规传播时政类视听新闻节目的；</w:t>
            </w:r>
          </w:p>
          <w:p w14:paraId="38B1C3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（三）集成播控服务单位未对内容提供服务单位播出的节目进行统一集成和播出监控或者未负责电子节目指南（EPG）、用户端、计费、版权等管理的。</w:t>
            </w:r>
          </w:p>
          <w:p w14:paraId="090746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第二十九条</w:t>
            </w:r>
            <w:r>
              <w:rPr>
                <w:rFonts w:hint="eastAsia" w:ascii="微软雅黑" w:hAnsi="微软雅黑" w:eastAsia="微软雅黑" w:cs="微软雅黑"/>
                <w:i w:val="0"/>
                <w:iCs w:val="0"/>
                <w:caps w:val="0"/>
                <w:color w:val="333333"/>
                <w:spacing w:val="0"/>
                <w:sz w:val="16"/>
                <w:szCs w:val="16"/>
                <w:u w:val="none"/>
                <w:bdr w:val="none" w:color="auto" w:sz="0" w:space="0"/>
              </w:rPr>
              <w:t>　违反本规定，有下列行为之一的，由县级以上人民政府广播电视行政部门予以警告、责令改正，可并处三万元以下罚款；情节严重的，根据《广播电视管理条例》第五十一条的规定予以处罚：</w:t>
            </w:r>
          </w:p>
          <w:p w14:paraId="7DBBA3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（一）专网及定向传播视听节目服务单位转播、链接、聚合、集成非法广播电视频道节目、非法视听节目网站的节目和未取得内容提供服务许可的单位开办的节目的；</w:t>
            </w:r>
          </w:p>
          <w:p w14:paraId="55D34D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（二）集成播控服务单位擅自插播、截留、变更内容提供服务单位播出的节目信号的；</w:t>
            </w:r>
          </w:p>
          <w:p w14:paraId="354BB2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（三）传输分发服务单位擅自插播、截留、变更集成播控平台发出的节目信号和电子节目指南（EPG）、用户端、计费、版权等控制信号的。</w:t>
            </w:r>
          </w:p>
          <w:p w14:paraId="1DF2CD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第三十条</w:t>
            </w:r>
            <w:r>
              <w:rPr>
                <w:rFonts w:hint="eastAsia" w:ascii="微软雅黑" w:hAnsi="微软雅黑" w:eastAsia="微软雅黑" w:cs="微软雅黑"/>
                <w:i w:val="0"/>
                <w:iCs w:val="0"/>
                <w:caps w:val="0"/>
                <w:color w:val="333333"/>
                <w:spacing w:val="0"/>
                <w:sz w:val="16"/>
                <w:szCs w:val="16"/>
                <w:u w:val="none"/>
                <w:bdr w:val="none" w:color="auto" w:sz="0" w:space="0"/>
              </w:rPr>
              <w:t>　违反本规定，有下列行为之一的，由县级以上人民政府广播电视行政部门予以警告、责令改正，可并处三万元以下罚款；同时，可对其主要出资者和经营者予以警告，可并处两万元以下罚款：</w:t>
            </w:r>
          </w:p>
          <w:p w14:paraId="1CACE0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（一）变更股东、股权结构等重大事项，未事先办理审批手续的；</w:t>
            </w:r>
          </w:p>
          <w:p w14:paraId="4BAC9D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（二）专网及定向传播视听节目服务单位的单位名称、办公场所、法定代表人依法变更后未及时向原发证机关备案的；</w:t>
            </w:r>
          </w:p>
          <w:p w14:paraId="4372B6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（三）未按本规定要求，将拟增加的新产品或者开展的新业务报国家广播电视总局进行安全评估的；</w:t>
            </w:r>
          </w:p>
          <w:p w14:paraId="1E6151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（四）采用合资、合作模式开展节目生产购销、广告投放、市场推广、商业合作、收付结算、技术服务等经营性业务未及时向原发证机关备案的；</w:t>
            </w:r>
          </w:p>
          <w:p w14:paraId="2D5407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（五）集成播控服务单位和传输分发服务单位在提供服务时未履行许可证查验义务的；</w:t>
            </w:r>
          </w:p>
          <w:p w14:paraId="03E59A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（六）未按本规定要求建立健全与国家网络信息安全相适应的安全播控、节目内容、安全传输等管理制度、保障体系的；</w:t>
            </w:r>
          </w:p>
          <w:p w14:paraId="5A3722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（七）集成播控服务单位和内容提供服务单位未在播出界面显著位置标注播出标识、名称的；</w:t>
            </w:r>
          </w:p>
          <w:p w14:paraId="7E6BE3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（八）内容提供服务单位未采取版权保护措施，未保留节目播出信息或者未配合广播电视行政部门查询，以及发现含有违反本规定的节目时未及时删除并保存记录或者未报告广播电视行政部门的；</w:t>
            </w:r>
          </w:p>
          <w:p w14:paraId="3E97EF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（九）集成播控服务单位发现接入集成播控平台的节目含有违反本规定的内容时未及时切断节目源或者未报告广播电视行政部门的；</w:t>
            </w:r>
          </w:p>
          <w:p w14:paraId="74096F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（十）用于专网及定向传播视听节目服务的技术系统和终端产品不符合国家有关标准和技术规范的；</w:t>
            </w:r>
          </w:p>
          <w:p w14:paraId="06C267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（十一）向未取得专网及定向传播视听节目服务许可的单位提供与专网及定向传播视听节目服务有关的服务器托管、网络传输、软硬件技术支持、代收费等服务的；</w:t>
            </w:r>
          </w:p>
          <w:p w14:paraId="17683C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（十二）未向广播电视行政部门设立的节目监控系统提供必要的信号接入条件的；</w:t>
            </w:r>
          </w:p>
          <w:p w14:paraId="0D408A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（十三）专网及定向传播视听节目服务单位在同一年度内三次出现违规行为的；</w:t>
            </w:r>
          </w:p>
          <w:p w14:paraId="31CCDA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（十四）拒绝、阻挠、拖延广播电视行政部门依法进行监督检查或者在监督检查过程中弄虚作假的；</w:t>
            </w:r>
          </w:p>
          <w:p w14:paraId="58B038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（十五）以虚假证明、文件等手段骗取《信息网络传播视听节目许可证》的。</w:t>
            </w:r>
          </w:p>
          <w:p w14:paraId="60B2DC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bdr w:val="none" w:color="auto" w:sz="0" w:space="0"/>
              </w:rPr>
              <w:t>有前款第十五项行为的，发证机关应当撤销其《信息网络传播视听节目许可证》。</w:t>
            </w:r>
          </w:p>
          <w:p w14:paraId="240A69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第三十一条</w:t>
            </w:r>
            <w:r>
              <w:rPr>
                <w:rFonts w:hint="eastAsia" w:ascii="微软雅黑" w:hAnsi="微软雅黑" w:eastAsia="微软雅黑" w:cs="微软雅黑"/>
                <w:i w:val="0"/>
                <w:iCs w:val="0"/>
                <w:caps w:val="0"/>
                <w:color w:val="333333"/>
                <w:spacing w:val="0"/>
                <w:sz w:val="16"/>
                <w:szCs w:val="16"/>
                <w:u w:val="none"/>
                <w:bdr w:val="none" w:color="auto" w:sz="0" w:space="0"/>
              </w:rPr>
              <w:t>　广播电视行政部门工作人员滥用职权、玩忽职守的，依法给予处分；构成犯罪的，依法追究刑事责任。</w:t>
            </w:r>
          </w:p>
          <w:p w14:paraId="4B96F8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33259E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第五章　附则</w:t>
            </w:r>
          </w:p>
          <w:p w14:paraId="6A357B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p>
          <w:p w14:paraId="200D7C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第三十二条</w:t>
            </w:r>
            <w:r>
              <w:rPr>
                <w:rFonts w:hint="eastAsia" w:ascii="微软雅黑" w:hAnsi="微软雅黑" w:eastAsia="微软雅黑" w:cs="微软雅黑"/>
                <w:i w:val="0"/>
                <w:iCs w:val="0"/>
                <w:caps w:val="0"/>
                <w:color w:val="333333"/>
                <w:spacing w:val="0"/>
                <w:sz w:val="16"/>
                <w:szCs w:val="16"/>
                <w:u w:val="none"/>
                <w:bdr w:val="none" w:color="auto" w:sz="0" w:space="0"/>
              </w:rPr>
              <w:t>　制作、编辑、集成并通过互联网向公众提供视音频节目以及为他人提供上载传播视听节目服务的，由国家广播电视总局、工业和信息化部按照国家有关规定进行监督管理。</w:t>
            </w:r>
          </w:p>
          <w:p w14:paraId="4537A0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left"/>
              <w:rPr>
                <w:rFonts w:hint="eastAsia" w:ascii="微软雅黑" w:hAnsi="微软雅黑" w:eastAsia="微软雅黑" w:cs="微软雅黑"/>
                <w:color w:val="333333"/>
                <w:u w:val="none"/>
              </w:rPr>
            </w:pPr>
            <w:r>
              <w:rPr>
                <w:rStyle w:val="5"/>
                <w:rFonts w:hint="eastAsia" w:ascii="微软雅黑" w:hAnsi="微软雅黑" w:eastAsia="微软雅黑" w:cs="微软雅黑"/>
                <w:i w:val="0"/>
                <w:iCs w:val="0"/>
                <w:caps w:val="0"/>
                <w:color w:val="333333"/>
                <w:spacing w:val="0"/>
                <w:sz w:val="16"/>
                <w:szCs w:val="16"/>
                <w:u w:val="none"/>
                <w:bdr w:val="none" w:color="auto" w:sz="0" w:space="0"/>
              </w:rPr>
              <w:t>第三十三条</w:t>
            </w:r>
            <w:r>
              <w:rPr>
                <w:rFonts w:hint="eastAsia" w:ascii="微软雅黑" w:hAnsi="微软雅黑" w:eastAsia="微软雅黑" w:cs="微软雅黑"/>
                <w:i w:val="0"/>
                <w:iCs w:val="0"/>
                <w:caps w:val="0"/>
                <w:color w:val="333333"/>
                <w:spacing w:val="0"/>
                <w:sz w:val="16"/>
                <w:szCs w:val="16"/>
                <w:u w:val="none"/>
                <w:bdr w:val="none" w:color="auto" w:sz="0" w:space="0"/>
              </w:rPr>
              <w:t>　本规定自2016年6月1日起施行。2004年7月6日国家广播电影电视总局发布的《互联网等信息网络传播视听节目管理办法》（国家广播电影电视总局令第39号）同时废止。</w:t>
            </w:r>
          </w:p>
        </w:tc>
      </w:tr>
      <w:tr w14:paraId="510773DB">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0" w:type="dxa"/>
            <w:left w:w="0" w:type="dxa"/>
            <w:bottom w:w="0" w:type="dxa"/>
            <w:right w:w="0" w:type="dxa"/>
          </w:tblCellMar>
        </w:tblPrEx>
        <w:trPr>
          <w:tblCellSpacing w:w="7" w:type="dxa"/>
          <w:jc w:val="center"/>
        </w:trPr>
        <w:tc>
          <w:tcPr>
            <w:tcW w:w="11013" w:type="dxa"/>
            <w:shd w:val="clear"/>
            <w:tcMar>
              <w:top w:w="180" w:type="dxa"/>
              <w:left w:w="180" w:type="dxa"/>
              <w:bottom w:w="180" w:type="dxa"/>
              <w:right w:w="180" w:type="dxa"/>
            </w:tcMar>
            <w:vAlign w:val="center"/>
          </w:tcPr>
          <w:p w14:paraId="690A5B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u w:val="none"/>
              </w:rPr>
            </w:pPr>
            <w:r>
              <w:rPr>
                <w:rFonts w:hint="eastAsia" w:ascii="微软雅黑" w:hAnsi="微软雅黑" w:eastAsia="微软雅黑" w:cs="微软雅黑"/>
                <w:i w:val="0"/>
                <w:iCs w:val="0"/>
                <w:caps w:val="0"/>
                <w:color w:val="333333"/>
                <w:spacing w:val="0"/>
                <w:kern w:val="0"/>
                <w:sz w:val="14"/>
                <w:szCs w:val="14"/>
                <w:u w:val="none"/>
                <w:bdr w:val="none" w:color="auto" w:sz="0" w:space="0"/>
                <w:lang w:val="en-US" w:eastAsia="zh-CN" w:bidi="ar"/>
              </w:rPr>
              <w:fldChar w:fldCharType="begin"/>
            </w:r>
            <w:r>
              <w:rPr>
                <w:rFonts w:hint="eastAsia" w:ascii="微软雅黑" w:hAnsi="微软雅黑" w:eastAsia="微软雅黑" w:cs="微软雅黑"/>
                <w:i w:val="0"/>
                <w:iCs w:val="0"/>
                <w:caps w:val="0"/>
                <w:color w:val="333333"/>
                <w:spacing w:val="0"/>
                <w:kern w:val="0"/>
                <w:sz w:val="14"/>
                <w:szCs w:val="14"/>
                <w:u w:val="none"/>
                <w:bdr w:val="none" w:color="auto" w:sz="0" w:space="0"/>
                <w:lang w:val="en-US" w:eastAsia="zh-CN" w:bidi="ar"/>
              </w:rPr>
              <w:instrText xml:space="preserve"> HYPERLINK "javascript:void(0);" \o "分享到微信" </w:instrText>
            </w:r>
            <w:r>
              <w:rPr>
                <w:rFonts w:hint="eastAsia" w:ascii="微软雅黑" w:hAnsi="微软雅黑" w:eastAsia="微软雅黑" w:cs="微软雅黑"/>
                <w:i w:val="0"/>
                <w:iCs w:val="0"/>
                <w:caps w:val="0"/>
                <w:color w:val="333333"/>
                <w:spacing w:val="0"/>
                <w:kern w:val="0"/>
                <w:sz w:val="14"/>
                <w:szCs w:val="14"/>
                <w:u w:val="none"/>
                <w:bdr w:val="none" w:color="auto" w:sz="0" w:space="0"/>
                <w:lang w:val="en-US" w:eastAsia="zh-CN" w:bidi="ar"/>
              </w:rPr>
              <w:fldChar w:fldCharType="separate"/>
            </w:r>
            <w:r>
              <w:rPr>
                <w:rFonts w:hint="eastAsia" w:ascii="微软雅黑" w:hAnsi="微软雅黑" w:eastAsia="微软雅黑" w:cs="微软雅黑"/>
                <w:i w:val="0"/>
                <w:iCs w:val="0"/>
                <w:caps w:val="0"/>
                <w:color w:val="333333"/>
                <w:spacing w:val="0"/>
                <w:kern w:val="0"/>
                <w:sz w:val="14"/>
                <w:szCs w:val="14"/>
                <w:u w:val="none"/>
                <w:bdr w:val="none" w:color="auto" w:sz="0" w:space="0"/>
                <w:lang w:val="en-US" w:eastAsia="zh-CN" w:bidi="ar"/>
              </w:rPr>
              <w:fldChar w:fldCharType="end"/>
            </w:r>
          </w:p>
        </w:tc>
      </w:tr>
    </w:tbl>
    <w:p w14:paraId="6CA2FAF3">
      <w:pPr>
        <w:keepNext w:val="0"/>
        <w:keepLines w:val="0"/>
        <w:widowControl/>
        <w:suppressLineNumbers w:val="0"/>
        <w:jc w:val="left"/>
      </w:pPr>
    </w:p>
    <w:p w14:paraId="627848C5">
      <w:r>
        <w:rPr>
          <w:rFonts w:hint="eastAsia"/>
        </w:rPr>
        <w:t>https://www.nrta.gov.cn/art/2018/5/4/art_1588_43936.html</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3ZDE5ZjViNDgxYTY4NjYyYjUxMWJlOGQ5YjBlNTUifQ=="/>
  </w:docVars>
  <w:rsids>
    <w:rsidRoot w:val="00000000"/>
    <w:rsid w:val="09380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2024-07-23T05:34:05Z</dcterms:created>
  <dc:creator>Administrator</dc:creator>
  <cp:lastModifiedBy>云落</cp:lastModifiedBy>
  <dcterms:modified xsi:type="dcterms:W3CDTF">2024-07-23T05:34:35Z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C036C86225474C32A8AC4DE5C4670E05_12</vt:lpwstr>
  </property>
</Properties>
</file>