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notes.xml" ContentType="application/vnd.openxmlformats-officedocument.wordprocessingml.footnotes+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12D98A40">
      <w:pPr>
        <w:pStyle w:val="6"/>
        <w:keepNext w:val="0"/>
        <w:keepLines w:val="0"/>
        <w:pageBreakBefore w:val="0"/>
        <w:widowControl w:val="0"/>
        <w:wordWrap/>
        <w:overflowPunct/>
        <w:topLinePunct w:val="0"/>
        <w:bidi w:val="0"/>
        <w:spacing w:line="580" w:lineRule="exact"/>
        <w:ind w:left="0" w:leftChars="0" w:firstLine="0"/>
        <w:rPr>
          <w:rFonts w:hint="eastAsia"/>
          <w:color w:val="auto"/>
        </w:rPr>
      </w:pPr>
    </w:p>
    <w:p w14:paraId="3AED056E">
      <w:pPr>
        <w:keepNext w:val="0"/>
        <w:keepLines w:val="0"/>
        <w:pageBreakBefore w:val="0"/>
        <w:widowControl w:val="0"/>
        <w:wordWrap/>
        <w:overflowPunct/>
        <w:topLinePunct w:val="0"/>
        <w:bidi w:val="0"/>
        <w:snapToGrid w:val="0"/>
        <w:spacing w:line="580" w:lineRule="exact"/>
        <w:rPr>
          <w:rFonts w:hint="eastAsia" w:ascii="楷体_GB2312" w:hAnsi="仿宋" w:eastAsia="楷体_GB2312"/>
          <w:b/>
          <w:color w:val="auto"/>
          <w:sz w:val="30"/>
          <w:szCs w:val="30"/>
        </w:rPr>
      </w:pPr>
    </w:p>
    <w:p w14:paraId="08EE557B">
      <w:pPr>
        <w:keepNext w:val="0"/>
        <w:keepLines w:val="0"/>
        <w:pageBreakBefore w:val="0"/>
        <w:widowControl w:val="0"/>
        <w:wordWrap/>
        <w:overflowPunct/>
        <w:topLinePunct w:val="0"/>
        <w:bidi w:val="0"/>
        <w:snapToGrid w:val="0"/>
        <w:spacing w:before="312" w:beforeLines="100" w:line="580" w:lineRule="exact"/>
        <w:ind w:firstLine="4819" w:firstLineChars="1600"/>
        <w:rPr>
          <w:rFonts w:ascii="楷体_GB2312" w:hAnsi="仿宋" w:eastAsia="楷体_GB2312"/>
          <w:b/>
          <w:color w:val="auto"/>
          <w:sz w:val="30"/>
          <w:szCs w:val="30"/>
          <w:highlight w:val="none"/>
        </w:rPr>
      </w:pPr>
      <w:r>
        <w:rPr>
          <w:rFonts w:hint="eastAsia" w:ascii="楷体_GB2312" w:hAnsi="仿宋" w:eastAsia="楷体_GB2312"/>
          <w:b/>
          <w:color w:val="FF0000"/>
          <w:sz w:val="30"/>
          <w:szCs w:val="30"/>
        </w:rPr>
        <w:t xml:space="preserve">  </w:t>
      </w:r>
      <w:r>
        <w:rPr>
          <w:rFonts w:hint="eastAsia" w:ascii="楷体_GB2312" w:hAnsi="仿宋" w:eastAsia="楷体_GB2312"/>
          <w:b/>
          <w:color w:val="FF0000"/>
          <w:sz w:val="30"/>
          <w:szCs w:val="30"/>
          <w:highlight w:val="none"/>
        </w:rPr>
        <w:t xml:space="preserve">   </w:t>
      </w:r>
      <w:r>
        <w:rPr>
          <w:rFonts w:hint="eastAsia" w:ascii="楷体_GB2312" w:hAnsi="仿宋" w:eastAsia="楷体_GB2312"/>
          <w:b/>
          <w:color w:val="auto"/>
          <w:sz w:val="30"/>
          <w:szCs w:val="30"/>
          <w:highlight w:val="none"/>
        </w:rPr>
        <w:t>岳云环评〔2025〕</w:t>
      </w:r>
      <w:r>
        <w:rPr>
          <w:rFonts w:hint="eastAsia" w:ascii="楷体_GB2312" w:hAnsi="仿宋" w:eastAsia="楷体_GB2312"/>
          <w:b/>
          <w:color w:val="auto"/>
          <w:sz w:val="30"/>
          <w:szCs w:val="30"/>
          <w:highlight w:val="none"/>
          <w:lang w:val="en-US" w:eastAsia="zh-CN"/>
        </w:rPr>
        <w:t>11</w:t>
      </w:r>
      <w:r>
        <w:rPr>
          <w:rFonts w:hint="eastAsia" w:ascii="楷体_GB2312" w:hAnsi="仿宋" w:eastAsia="楷体_GB2312"/>
          <w:b/>
          <w:color w:val="auto"/>
          <w:sz w:val="30"/>
          <w:szCs w:val="30"/>
          <w:highlight w:val="none"/>
        </w:rPr>
        <w:t>号</w:t>
      </w:r>
    </w:p>
    <w:p w14:paraId="28FF4465">
      <w:pPr>
        <w:keepNext w:val="0"/>
        <w:keepLines w:val="0"/>
        <w:pageBreakBefore w:val="0"/>
        <w:widowControl w:val="0"/>
        <w:kinsoku/>
        <w:wordWrap/>
        <w:overflowPunct/>
        <w:topLinePunct w:val="0"/>
        <w:autoSpaceDE/>
        <w:autoSpaceDN/>
        <w:bidi w:val="0"/>
        <w:adjustRightInd/>
        <w:snapToGrid/>
        <w:spacing w:after="156" w:afterLines="50" w:line="580" w:lineRule="exact"/>
        <w:jc w:val="center"/>
        <w:textAlignment w:val="auto"/>
        <w:rPr>
          <w:rFonts w:hint="eastAsia" w:ascii="方正小标宋简体" w:hAnsi="方正小标宋简体" w:eastAsia="方正小标宋简体" w:cs="方正小标宋简体"/>
          <w:snapToGrid/>
          <w:color w:val="auto"/>
          <w:spacing w:val="-11"/>
          <w:kern w:val="2"/>
          <w:sz w:val="44"/>
          <w:szCs w:val="44"/>
          <w:lang w:eastAsia="zh-CN"/>
        </w:rPr>
      </w:pPr>
      <w:r>
        <w:rPr>
          <w:rFonts w:hint="eastAsia" w:ascii="方正小标宋简体" w:hAnsi="方正小标宋简体" w:eastAsia="方正小标宋简体" w:cs="方正小标宋简体"/>
          <w:snapToGrid/>
          <w:color w:val="auto"/>
          <w:spacing w:val="-11"/>
          <w:kern w:val="2"/>
          <w:sz w:val="44"/>
          <w:szCs w:val="44"/>
          <w:lang w:eastAsia="zh-CN"/>
        </w:rPr>
        <w:t>关于</w:t>
      </w:r>
      <w:r>
        <w:rPr>
          <w:rFonts w:hint="default" w:ascii="方正小标宋简体" w:hAnsi="方正小标宋简体" w:eastAsia="方正小标宋简体" w:cs="方正小标宋简体"/>
          <w:snapToGrid/>
          <w:color w:val="auto"/>
          <w:spacing w:val="-11"/>
          <w:kern w:val="2"/>
          <w:sz w:val="44"/>
          <w:szCs w:val="44"/>
          <w:lang w:val="en-US" w:eastAsia="zh-CN"/>
        </w:rPr>
        <w:t>湖南永泰运化工仓储物流项目（一期）</w:t>
      </w:r>
      <w:r>
        <w:rPr>
          <w:rFonts w:hint="eastAsia" w:ascii="方正小标宋简体" w:hAnsi="方正小标宋简体" w:eastAsia="方正小标宋简体" w:cs="方正小标宋简体"/>
          <w:snapToGrid/>
          <w:color w:val="auto"/>
          <w:spacing w:val="-11"/>
          <w:kern w:val="2"/>
          <w:sz w:val="44"/>
          <w:szCs w:val="44"/>
          <w:lang w:eastAsia="zh-CN"/>
        </w:rPr>
        <w:t>环境影响报告表的批复</w:t>
      </w:r>
    </w:p>
    <w:p w14:paraId="383C4194">
      <w:pPr>
        <w:pStyle w:val="3"/>
        <w:keepNext w:val="0"/>
        <w:keepLines w:val="0"/>
        <w:pageBreakBefore w:val="0"/>
        <w:widowControl w:val="0"/>
        <w:kinsoku/>
        <w:wordWrap/>
        <w:overflowPunct/>
        <w:topLinePunct w:val="0"/>
        <w:autoSpaceDE/>
        <w:autoSpaceDN/>
        <w:bidi w:val="0"/>
        <w:adjustRightInd w:val="0"/>
        <w:snapToGrid/>
        <w:spacing w:line="540" w:lineRule="exact"/>
        <w:ind w:left="0"/>
        <w:jc w:val="both"/>
        <w:textAlignment w:val="baseline"/>
        <w:rPr>
          <w:rFonts w:hint="eastAsia" w:ascii="仿宋_GB2312" w:hAnsi="仿宋_GB2312" w:eastAsia="仿宋_GB2312" w:cs="仿宋_GB2312"/>
          <w:spacing w:val="0"/>
          <w:position w:val="0"/>
          <w:sz w:val="32"/>
          <w:szCs w:val="32"/>
        </w:rPr>
      </w:pPr>
      <w:r>
        <w:rPr>
          <w:rFonts w:hint="eastAsia" w:ascii="仿宋_GB2312" w:hAnsi="仿宋_GB2312" w:eastAsia="仿宋_GB2312" w:cs="仿宋_GB2312"/>
          <w:spacing w:val="0"/>
          <w:position w:val="0"/>
          <w:sz w:val="32"/>
          <w:szCs w:val="32"/>
          <w:lang w:eastAsia="zh-CN"/>
        </w:rPr>
        <w:t>湖南永泰运化工物流有限公司</w:t>
      </w:r>
      <w:r>
        <w:rPr>
          <w:rFonts w:hint="eastAsia" w:ascii="仿宋_GB2312" w:hAnsi="仿宋_GB2312" w:eastAsia="仿宋_GB2312" w:cs="仿宋_GB2312"/>
          <w:spacing w:val="0"/>
          <w:position w:val="0"/>
          <w:sz w:val="32"/>
          <w:szCs w:val="32"/>
        </w:rPr>
        <w:t>：</w:t>
      </w:r>
    </w:p>
    <w:p w14:paraId="74F40124">
      <w:pPr>
        <w:pStyle w:val="3"/>
        <w:keepNext w:val="0"/>
        <w:keepLines w:val="0"/>
        <w:pageBreakBefore w:val="0"/>
        <w:widowControl w:val="0"/>
        <w:kinsoku/>
        <w:wordWrap/>
        <w:overflowPunct/>
        <w:topLinePunct w:val="0"/>
        <w:autoSpaceDE/>
        <w:autoSpaceDN/>
        <w:bidi w:val="0"/>
        <w:adjustRightInd w:val="0"/>
        <w:snapToGrid/>
        <w:spacing w:line="540" w:lineRule="exact"/>
        <w:ind w:left="0" w:firstLine="640" w:firstLineChars="200"/>
        <w:jc w:val="both"/>
        <w:textAlignment w:val="baseline"/>
        <w:rPr>
          <w:rFonts w:hint="eastAsia" w:ascii="仿宋_GB2312" w:hAnsi="仿宋_GB2312" w:eastAsia="仿宋_GB2312" w:cs="仿宋_GB2312"/>
          <w:spacing w:val="0"/>
          <w:position w:val="0"/>
          <w:sz w:val="32"/>
          <w:szCs w:val="32"/>
        </w:rPr>
      </w:pPr>
      <w:r>
        <w:rPr>
          <w:rFonts w:hint="eastAsia" w:ascii="仿宋_GB2312" w:hAnsi="仿宋_GB2312" w:eastAsia="仿宋_GB2312" w:cs="仿宋_GB2312"/>
          <w:spacing w:val="0"/>
          <w:position w:val="0"/>
          <w:sz w:val="32"/>
          <w:szCs w:val="32"/>
        </w:rPr>
        <w:t>你公司关于申请</w:t>
      </w:r>
      <w:r>
        <w:rPr>
          <w:rFonts w:hint="eastAsia" w:ascii="仿宋_GB2312" w:hAnsi="仿宋_GB2312" w:eastAsia="仿宋_GB2312" w:cs="仿宋_GB2312"/>
          <w:spacing w:val="0"/>
          <w:position w:val="0"/>
          <w:sz w:val="32"/>
          <w:szCs w:val="32"/>
          <w:lang w:eastAsia="zh-CN"/>
        </w:rPr>
        <w:t>湖南永泰运化工仓储物流项目（一期）</w:t>
      </w:r>
      <w:r>
        <w:rPr>
          <w:rFonts w:hint="eastAsia" w:ascii="仿宋_GB2312" w:hAnsi="仿宋_GB2312" w:eastAsia="仿宋_GB2312" w:cs="仿宋_GB2312"/>
          <w:spacing w:val="0"/>
          <w:position w:val="0"/>
          <w:sz w:val="32"/>
          <w:szCs w:val="32"/>
        </w:rPr>
        <w:t>环境影响报告表批复的有关函件及附件收悉。经研究，批复如下</w:t>
      </w:r>
      <w:r>
        <w:rPr>
          <w:rFonts w:hint="eastAsia" w:ascii="仿宋_GB2312" w:hAnsi="仿宋_GB2312" w:eastAsia="仿宋_GB2312" w:cs="仿宋_GB2312"/>
          <w:spacing w:val="0"/>
          <w:position w:val="0"/>
          <w:sz w:val="32"/>
          <w:szCs w:val="32"/>
          <w:lang w:eastAsia="zh-CN"/>
        </w:rPr>
        <w:t>：</w:t>
      </w:r>
    </w:p>
    <w:p w14:paraId="7909E4E0">
      <w:pPr>
        <w:pStyle w:val="3"/>
        <w:keepNext w:val="0"/>
        <w:keepLines w:val="0"/>
        <w:pageBreakBefore w:val="0"/>
        <w:widowControl w:val="0"/>
        <w:numPr>
          <w:ilvl w:val="0"/>
          <w:numId w:val="0"/>
        </w:numPr>
        <w:kinsoku/>
        <w:wordWrap/>
        <w:overflowPunct/>
        <w:topLinePunct w:val="0"/>
        <w:autoSpaceDE/>
        <w:autoSpaceDN/>
        <w:bidi w:val="0"/>
        <w:adjustRightInd w:val="0"/>
        <w:snapToGrid/>
        <w:spacing w:line="540" w:lineRule="exact"/>
        <w:ind w:leftChars="0" w:right="0" w:rightChars="0" w:firstLine="640" w:firstLineChars="200"/>
        <w:jc w:val="both"/>
        <w:textAlignment w:val="baseline"/>
        <w:rPr>
          <w:rFonts w:hint="eastAsia" w:ascii="仿宋_GB2312" w:hAnsi="仿宋_GB2312" w:eastAsia="仿宋_GB2312" w:cs="仿宋_GB2312"/>
          <w:spacing w:val="0"/>
          <w:position w:val="0"/>
          <w:sz w:val="32"/>
          <w:szCs w:val="32"/>
        </w:rPr>
      </w:pPr>
      <w:r>
        <w:rPr>
          <w:rFonts w:hint="eastAsia" w:ascii="仿宋_GB2312" w:hAnsi="仿宋_GB2312" w:eastAsia="仿宋_GB2312" w:cs="仿宋_GB2312"/>
          <w:spacing w:val="0"/>
          <w:position w:val="0"/>
          <w:sz w:val="32"/>
          <w:szCs w:val="32"/>
          <w:lang w:val="en-US" w:eastAsia="zh-CN"/>
        </w:rPr>
        <w:t>一、</w:t>
      </w:r>
      <w:r>
        <w:rPr>
          <w:rFonts w:hint="eastAsia" w:ascii="仿宋_GB2312" w:hAnsi="仿宋_GB2312" w:eastAsia="仿宋_GB2312" w:cs="仿宋_GB2312"/>
          <w:spacing w:val="0"/>
          <w:position w:val="0"/>
          <w:sz w:val="32"/>
          <w:szCs w:val="32"/>
          <w:lang w:eastAsia="zh-CN"/>
        </w:rPr>
        <w:t>湖南永泰运化工仓储物流项目（一期）</w:t>
      </w:r>
      <w:r>
        <w:rPr>
          <w:rFonts w:hint="eastAsia" w:ascii="仿宋_GB2312" w:hAnsi="仿宋_GB2312" w:eastAsia="仿宋_GB2312" w:cs="仿宋_GB2312"/>
          <w:spacing w:val="0"/>
          <w:position w:val="0"/>
          <w:sz w:val="32"/>
          <w:szCs w:val="32"/>
        </w:rPr>
        <w:t>位于</w:t>
      </w:r>
      <w:r>
        <w:rPr>
          <w:rFonts w:hint="eastAsia" w:ascii="仿宋_GB2312" w:hAnsi="仿宋_GB2312" w:eastAsia="仿宋_GB2312" w:cs="仿宋_GB2312"/>
          <w:spacing w:val="0"/>
          <w:position w:val="0"/>
          <w:sz w:val="32"/>
          <w:szCs w:val="32"/>
          <w:lang w:val="en-US" w:eastAsia="zh-CN"/>
        </w:rPr>
        <w:t>湖南省岳阳市岳阳绿色化工高新技术产业开发区(云溪片区)许广高速以东、云溪大道以南、G107以西、云溪区污水处理厂以北地块内</w:t>
      </w:r>
      <w:r>
        <w:rPr>
          <w:rFonts w:hint="eastAsia" w:ascii="仿宋_GB2312" w:hAnsi="仿宋_GB2312" w:eastAsia="仿宋_GB2312" w:cs="仿宋_GB2312"/>
          <w:spacing w:val="0"/>
          <w:position w:val="0"/>
          <w:sz w:val="32"/>
          <w:szCs w:val="32"/>
        </w:rPr>
        <w:t>，项目总投资</w:t>
      </w:r>
      <w:r>
        <w:rPr>
          <w:rFonts w:hint="default" w:ascii="仿宋_GB2312" w:hAnsi="仿宋_GB2312" w:eastAsia="仿宋_GB2312" w:cs="仿宋_GB2312"/>
          <w:spacing w:val="0"/>
          <w:position w:val="0"/>
          <w:sz w:val="32"/>
          <w:szCs w:val="32"/>
          <w:lang w:val="en-US" w:eastAsia="zh-CN"/>
        </w:rPr>
        <w:t>27000</w:t>
      </w:r>
      <w:r>
        <w:rPr>
          <w:rFonts w:hint="eastAsia" w:ascii="仿宋_GB2312" w:hAnsi="仿宋_GB2312" w:eastAsia="仿宋_GB2312" w:cs="仿宋_GB2312"/>
          <w:spacing w:val="0"/>
          <w:position w:val="0"/>
          <w:sz w:val="32"/>
          <w:szCs w:val="32"/>
        </w:rPr>
        <w:t>万元，其中环保投资</w:t>
      </w:r>
      <w:r>
        <w:rPr>
          <w:rFonts w:hint="default" w:ascii="仿宋_GB2312" w:hAnsi="仿宋_GB2312" w:eastAsia="仿宋_GB2312" w:cs="仿宋_GB2312"/>
          <w:spacing w:val="0"/>
          <w:position w:val="0"/>
          <w:sz w:val="32"/>
          <w:szCs w:val="32"/>
          <w:lang w:val="en-US" w:eastAsia="zh-CN"/>
        </w:rPr>
        <w:t>324.5</w:t>
      </w:r>
      <w:r>
        <w:rPr>
          <w:rFonts w:hint="eastAsia" w:ascii="仿宋_GB2312" w:hAnsi="仿宋_GB2312" w:eastAsia="仿宋_GB2312" w:cs="仿宋_GB2312"/>
          <w:spacing w:val="0"/>
          <w:position w:val="0"/>
          <w:sz w:val="32"/>
          <w:szCs w:val="32"/>
        </w:rPr>
        <w:t>万元，占总投资的</w:t>
      </w:r>
      <w:r>
        <w:rPr>
          <w:rFonts w:hint="eastAsia" w:ascii="仿宋_GB2312" w:hAnsi="仿宋_GB2312" w:eastAsia="仿宋_GB2312" w:cs="仿宋_GB2312"/>
          <w:spacing w:val="0"/>
          <w:position w:val="0"/>
          <w:sz w:val="32"/>
          <w:szCs w:val="32"/>
          <w:lang w:val="en-US" w:eastAsia="zh-CN"/>
        </w:rPr>
        <w:t>1.2</w:t>
      </w:r>
      <w:r>
        <w:rPr>
          <w:rFonts w:hint="eastAsia" w:ascii="仿宋_GB2312" w:hAnsi="仿宋_GB2312" w:eastAsia="仿宋_GB2312" w:cs="仿宋_GB2312"/>
          <w:spacing w:val="0"/>
          <w:position w:val="0"/>
          <w:sz w:val="32"/>
          <w:szCs w:val="32"/>
        </w:rPr>
        <w:t>%。主要建设内容为：危化品车辆停车场、集装箱堆场区、清洗车间、公用工程</w:t>
      </w:r>
      <w:r>
        <w:rPr>
          <w:rFonts w:hint="eastAsia" w:ascii="仿宋_GB2312" w:hAnsi="仿宋_GB2312" w:eastAsia="仿宋_GB2312" w:cs="仿宋_GB2312"/>
          <w:color w:val="auto"/>
          <w:spacing w:val="0"/>
          <w:position w:val="0"/>
          <w:sz w:val="32"/>
          <w:szCs w:val="32"/>
        </w:rPr>
        <w:t>楼、甲类仓库3栋、甲类(3项、4项)仓库2栋、乙类仓库2栋、</w:t>
      </w:r>
      <w:r>
        <w:rPr>
          <w:rFonts w:hint="eastAsia" w:ascii="仿宋_GB2312" w:hAnsi="仿宋_GB2312" w:eastAsia="仿宋_GB2312" w:cs="仿宋_GB2312"/>
          <w:color w:val="auto"/>
          <w:spacing w:val="0"/>
          <w:position w:val="0"/>
          <w:sz w:val="32"/>
          <w:szCs w:val="32"/>
          <w:lang w:val="en-US" w:eastAsia="en-US"/>
        </w:rPr>
        <w:t>丙类仓库1</w:t>
      </w:r>
      <w:r>
        <w:rPr>
          <w:rFonts w:hint="eastAsia" w:ascii="仿宋_GB2312" w:hAnsi="仿宋_GB2312" w:eastAsia="仿宋_GB2312" w:cs="仿宋_GB2312"/>
          <w:color w:val="auto"/>
          <w:spacing w:val="0"/>
          <w:position w:val="0"/>
          <w:sz w:val="32"/>
          <w:szCs w:val="32"/>
        </w:rPr>
        <w:t>栋</w:t>
      </w:r>
      <w:r>
        <w:rPr>
          <w:rFonts w:hint="eastAsia" w:ascii="仿宋_GB2312" w:hAnsi="仿宋_GB2312" w:eastAsia="仿宋_GB2312" w:cs="仿宋_GB2312"/>
          <w:color w:val="auto"/>
          <w:spacing w:val="0"/>
          <w:position w:val="0"/>
          <w:sz w:val="32"/>
          <w:szCs w:val="32"/>
          <w:lang w:val="en-US" w:eastAsia="en-US"/>
        </w:rPr>
        <w:t>及配套设施</w:t>
      </w:r>
      <w:r>
        <w:rPr>
          <w:rFonts w:hint="eastAsia" w:ascii="仿宋_GB2312" w:hAnsi="仿宋_GB2312" w:eastAsia="仿宋_GB2312" w:cs="仿宋_GB2312"/>
          <w:color w:val="auto"/>
          <w:spacing w:val="0"/>
          <w:position w:val="0"/>
          <w:sz w:val="32"/>
          <w:szCs w:val="32"/>
          <w:lang w:val="en-US" w:eastAsia="zh-CN"/>
        </w:rPr>
        <w:t>等</w:t>
      </w:r>
      <w:r>
        <w:rPr>
          <w:rFonts w:hint="eastAsia" w:ascii="仿宋_GB2312" w:hAnsi="仿宋_GB2312" w:eastAsia="仿宋_GB2312" w:cs="仿宋_GB2312"/>
          <w:color w:val="auto"/>
          <w:spacing w:val="0"/>
          <w:position w:val="0"/>
          <w:sz w:val="32"/>
          <w:szCs w:val="32"/>
          <w:lang w:val="en-US" w:eastAsia="en-US"/>
        </w:rPr>
        <w:t>，</w:t>
      </w:r>
      <w:r>
        <w:rPr>
          <w:rFonts w:hint="default" w:ascii="仿宋_GB2312" w:hAnsi="仿宋_GB2312" w:eastAsia="仿宋_GB2312" w:cs="仿宋_GB2312"/>
          <w:color w:val="auto"/>
          <w:spacing w:val="0"/>
          <w:position w:val="0"/>
          <w:sz w:val="32"/>
          <w:szCs w:val="32"/>
          <w:lang w:val="en-US" w:eastAsia="zh-CN"/>
        </w:rPr>
        <w:t>项目建设完成后，主要提供3大类服务，类别一：提供危险化学品和各种</w:t>
      </w:r>
      <w:r>
        <w:rPr>
          <w:rFonts w:hint="default" w:ascii="仿宋_GB2312" w:hAnsi="仿宋_GB2312" w:eastAsia="仿宋_GB2312" w:cs="仿宋_GB2312"/>
          <w:spacing w:val="0"/>
          <w:position w:val="0"/>
          <w:sz w:val="32"/>
          <w:szCs w:val="32"/>
          <w:lang w:val="en-US" w:eastAsia="zh-CN"/>
        </w:rPr>
        <w:t>类化学品的储存服务（包含仓储区域和集装箱区域）</w:t>
      </w:r>
      <w:r>
        <w:rPr>
          <w:rFonts w:hint="eastAsia" w:ascii="仿宋_GB2312" w:hAnsi="仿宋_GB2312" w:eastAsia="仿宋_GB2312" w:cs="仿宋_GB2312"/>
          <w:spacing w:val="0"/>
          <w:position w:val="0"/>
          <w:sz w:val="32"/>
          <w:szCs w:val="32"/>
          <w:lang w:val="en-US" w:eastAsia="zh-CN"/>
        </w:rPr>
        <w:t>，</w:t>
      </w:r>
      <w:r>
        <w:rPr>
          <w:rFonts w:hint="default" w:ascii="仿宋_GB2312" w:hAnsi="仿宋_GB2312" w:eastAsia="仿宋_GB2312" w:cs="仿宋_GB2312"/>
          <w:spacing w:val="0"/>
          <w:position w:val="0"/>
          <w:sz w:val="32"/>
          <w:szCs w:val="32"/>
          <w:lang w:val="en-US" w:eastAsia="zh-CN"/>
        </w:rPr>
        <w:t>各类化学品年最大周转量16000t/a</w:t>
      </w:r>
      <w:r>
        <w:rPr>
          <w:rFonts w:hint="eastAsia" w:ascii="仿宋_GB2312" w:hAnsi="仿宋_GB2312" w:eastAsia="仿宋_GB2312" w:cs="仿宋_GB2312"/>
          <w:spacing w:val="0"/>
          <w:position w:val="0"/>
          <w:sz w:val="32"/>
          <w:szCs w:val="32"/>
          <w:lang w:val="en-US" w:eastAsia="zh-CN"/>
        </w:rPr>
        <w:t>，项目经营范围仅限于环境影响报告表文本中规定的物料范围（包含种类、总量）</w:t>
      </w:r>
      <w:r>
        <w:rPr>
          <w:rFonts w:hint="default" w:ascii="仿宋_GB2312" w:hAnsi="仿宋_GB2312" w:eastAsia="仿宋_GB2312" w:cs="仿宋_GB2312"/>
          <w:spacing w:val="0"/>
          <w:position w:val="0"/>
          <w:sz w:val="32"/>
          <w:szCs w:val="32"/>
          <w:lang w:val="en-US" w:eastAsia="zh-CN"/>
        </w:rPr>
        <w:t>；类别二：化学品转运车辆的停泊服务</w:t>
      </w:r>
      <w:r>
        <w:rPr>
          <w:rFonts w:hint="eastAsia" w:ascii="仿宋_GB2312" w:hAnsi="仿宋_GB2312" w:eastAsia="仿宋_GB2312" w:cs="仿宋_GB2312"/>
          <w:spacing w:val="0"/>
          <w:position w:val="0"/>
          <w:sz w:val="32"/>
          <w:szCs w:val="32"/>
          <w:lang w:val="en-US" w:eastAsia="zh-CN"/>
        </w:rPr>
        <w:t>；</w:t>
      </w:r>
      <w:r>
        <w:rPr>
          <w:rFonts w:hint="default" w:ascii="仿宋_GB2312" w:hAnsi="仿宋_GB2312" w:eastAsia="仿宋_GB2312" w:cs="仿宋_GB2312"/>
          <w:spacing w:val="0"/>
          <w:position w:val="0"/>
          <w:sz w:val="32"/>
          <w:szCs w:val="32"/>
          <w:lang w:val="en-US" w:eastAsia="zh-CN"/>
        </w:rPr>
        <w:t>类别三：化学品转运车辆的清洗和维修服务</w:t>
      </w:r>
      <w:r>
        <w:rPr>
          <w:rFonts w:hint="eastAsia" w:ascii="仿宋_GB2312" w:hAnsi="仿宋_GB2312" w:eastAsia="仿宋_GB2312" w:cs="仿宋_GB2312"/>
          <w:spacing w:val="0"/>
          <w:position w:val="0"/>
          <w:sz w:val="32"/>
          <w:szCs w:val="32"/>
          <w:lang w:val="en-US" w:eastAsia="en-US"/>
        </w:rPr>
        <w:t>。</w:t>
      </w:r>
    </w:p>
    <w:p w14:paraId="2E913DF5">
      <w:pPr>
        <w:pStyle w:val="3"/>
        <w:keepNext w:val="0"/>
        <w:keepLines w:val="0"/>
        <w:pageBreakBefore w:val="0"/>
        <w:widowControl w:val="0"/>
        <w:numPr>
          <w:ilvl w:val="0"/>
          <w:numId w:val="0"/>
        </w:numPr>
        <w:kinsoku/>
        <w:wordWrap/>
        <w:overflowPunct/>
        <w:topLinePunct w:val="0"/>
        <w:autoSpaceDE/>
        <w:autoSpaceDN/>
        <w:bidi w:val="0"/>
        <w:adjustRightInd w:val="0"/>
        <w:snapToGrid/>
        <w:spacing w:line="540" w:lineRule="exact"/>
        <w:ind w:leftChars="0" w:right="0" w:rightChars="0" w:firstLine="640" w:firstLineChars="200"/>
        <w:jc w:val="both"/>
        <w:textAlignment w:val="baseline"/>
        <w:rPr>
          <w:rFonts w:hint="eastAsia" w:ascii="仿宋_GB2312" w:hAnsi="仿宋_GB2312" w:eastAsia="仿宋_GB2312" w:cs="仿宋_GB2312"/>
          <w:spacing w:val="0"/>
          <w:position w:val="0"/>
          <w:sz w:val="32"/>
          <w:szCs w:val="32"/>
        </w:rPr>
      </w:pPr>
      <w:r>
        <w:rPr>
          <w:rFonts w:hint="eastAsia" w:ascii="仿宋_GB2312" w:hAnsi="仿宋_GB2312" w:eastAsia="仿宋_GB2312" w:cs="仿宋_GB2312"/>
          <w:spacing w:val="0"/>
          <w:position w:val="0"/>
          <w:sz w:val="32"/>
          <w:szCs w:val="32"/>
        </w:rPr>
        <w:t>根据</w:t>
      </w:r>
      <w:r>
        <w:rPr>
          <w:rFonts w:hint="eastAsia" w:ascii="仿宋_GB2312" w:hAnsi="仿宋_GB2312" w:eastAsia="仿宋_GB2312" w:cs="仿宋_GB2312"/>
          <w:spacing w:val="0"/>
          <w:position w:val="0"/>
          <w:sz w:val="32"/>
          <w:szCs w:val="32"/>
          <w:lang w:eastAsia="zh-CN"/>
        </w:rPr>
        <w:t>湖南安康友诚安全评价有限公司</w:t>
      </w:r>
      <w:r>
        <w:rPr>
          <w:rFonts w:hint="eastAsia" w:ascii="仿宋_GB2312" w:hAnsi="仿宋_GB2312" w:eastAsia="仿宋_GB2312" w:cs="仿宋_GB2312"/>
          <w:spacing w:val="0"/>
          <w:position w:val="0"/>
          <w:sz w:val="32"/>
          <w:szCs w:val="32"/>
        </w:rPr>
        <w:t>编制的建设项目环境影响报告表基本内容、结论及专家评审意见，我局原则同意你司环境影响报告表中环境影响评价结论和环境保护对策措施。</w:t>
      </w:r>
    </w:p>
    <w:p w14:paraId="5C2161A5">
      <w:pPr>
        <w:pStyle w:val="3"/>
        <w:keepNext w:val="0"/>
        <w:keepLines w:val="0"/>
        <w:pageBreakBefore w:val="0"/>
        <w:widowControl w:val="0"/>
        <w:numPr>
          <w:numId w:val="0"/>
        </w:numPr>
        <w:kinsoku/>
        <w:wordWrap/>
        <w:overflowPunct/>
        <w:topLinePunct w:val="0"/>
        <w:autoSpaceDE/>
        <w:autoSpaceDN/>
        <w:bidi w:val="0"/>
        <w:adjustRightInd w:val="0"/>
        <w:snapToGrid/>
        <w:spacing w:line="540" w:lineRule="exact"/>
        <w:ind w:right="0" w:rightChars="0" w:firstLine="596" w:firstLineChars="200"/>
        <w:jc w:val="both"/>
        <w:textAlignment w:val="baseline"/>
        <w:rPr>
          <w:rFonts w:hint="eastAsia" w:ascii="仿宋_GB2312" w:hAnsi="仿宋_GB2312" w:eastAsia="仿宋_GB2312" w:cs="仿宋_GB2312"/>
          <w:spacing w:val="-11"/>
          <w:position w:val="0"/>
          <w:sz w:val="32"/>
          <w:szCs w:val="32"/>
        </w:rPr>
      </w:pPr>
      <w:r>
        <w:rPr>
          <w:rFonts w:hint="eastAsia" w:ascii="仿宋_GB2312" w:hAnsi="仿宋_GB2312" w:eastAsia="仿宋_GB2312" w:cs="仿宋_GB2312"/>
          <w:spacing w:val="-11"/>
          <w:position w:val="0"/>
          <w:sz w:val="32"/>
          <w:szCs w:val="32"/>
          <w:lang w:val="en-US" w:eastAsia="zh-CN"/>
        </w:rPr>
        <w:t>二、</w:t>
      </w:r>
      <w:r>
        <w:rPr>
          <w:rFonts w:hint="eastAsia" w:ascii="仿宋_GB2312" w:hAnsi="仿宋_GB2312" w:eastAsia="仿宋_GB2312" w:cs="仿宋_GB2312"/>
          <w:spacing w:val="-11"/>
          <w:position w:val="0"/>
          <w:sz w:val="32"/>
          <w:szCs w:val="32"/>
        </w:rPr>
        <w:t>项目在</w:t>
      </w:r>
      <w:r>
        <w:rPr>
          <w:rFonts w:hint="eastAsia" w:ascii="仿宋_GB2312" w:hAnsi="仿宋_GB2312" w:eastAsia="仿宋_GB2312" w:cs="仿宋_GB2312"/>
          <w:spacing w:val="-11"/>
          <w:sz w:val="32"/>
          <w:szCs w:val="32"/>
        </w:rPr>
        <w:t>施工及</w:t>
      </w:r>
      <w:r>
        <w:rPr>
          <w:rFonts w:hint="eastAsia" w:ascii="仿宋_GB2312" w:hAnsi="仿宋_GB2312" w:eastAsia="仿宋_GB2312" w:cs="仿宋_GB2312"/>
          <w:spacing w:val="-11"/>
          <w:position w:val="0"/>
          <w:sz w:val="32"/>
          <w:szCs w:val="32"/>
        </w:rPr>
        <w:t>营运期间须全面落实专家及环境影响报告表中提出的各项污染物防治措施，切实加强环境管理，确保污防设施长期稳定运行、污染物达标排放，并着重做好以下几点工作。</w:t>
      </w:r>
    </w:p>
    <w:p w14:paraId="474D1801">
      <w:pPr>
        <w:keepNext w:val="0"/>
        <w:keepLines w:val="0"/>
        <w:pageBreakBefore w:val="0"/>
        <w:widowControl w:val="0"/>
        <w:kinsoku/>
        <w:wordWrap/>
        <w:overflowPunct/>
        <w:topLinePunct w:val="0"/>
        <w:autoSpaceDE/>
        <w:autoSpaceDN/>
        <w:bidi w:val="0"/>
        <w:adjustRightInd/>
        <w:snapToGrid/>
        <w:spacing w:line="540" w:lineRule="exact"/>
        <w:ind w:firstLine="640" w:firstLineChars="200"/>
        <w:jc w:val="both"/>
        <w:textAlignment w:val="auto"/>
        <w:rPr>
          <w:rFonts w:hint="eastAsia" w:ascii="仿宋_GB2312" w:hAnsi="仿宋_GB2312" w:eastAsia="仿宋_GB2312" w:cs="仿宋_GB2312"/>
          <w:sz w:val="32"/>
          <w:szCs w:val="32"/>
        </w:rPr>
      </w:pPr>
      <w:r>
        <w:rPr>
          <w:rFonts w:hint="eastAsia" w:ascii="楷体_GB2312" w:hAnsi="楷体_GB2312" w:eastAsia="楷体_GB2312" w:cs="楷体_GB2312"/>
          <w:sz w:val="32"/>
          <w:szCs w:val="32"/>
          <w:lang w:val="en-US" w:eastAsia="zh-CN"/>
        </w:rPr>
        <w:t>1</w:t>
      </w:r>
      <w:r>
        <w:rPr>
          <w:rFonts w:hint="eastAsia" w:ascii="楷体_GB2312" w:hAnsi="楷体_GB2312" w:eastAsia="楷体_GB2312" w:cs="楷体_GB2312"/>
          <w:sz w:val="32"/>
          <w:szCs w:val="32"/>
        </w:rPr>
        <w:t>.落实施工期污染防治措施。</w:t>
      </w:r>
      <w:r>
        <w:rPr>
          <w:rFonts w:hint="eastAsia" w:ascii="仿宋_GB2312" w:hAnsi="仿宋_GB2312" w:eastAsia="仿宋_GB2312" w:cs="仿宋_GB2312"/>
          <w:sz w:val="32"/>
          <w:szCs w:val="32"/>
          <w:lang w:val="en-US" w:eastAsia="zh-CN"/>
        </w:rPr>
        <w:t>强化施工期环境管理，优化施工方案，科学文明施工。合理安排施工现场，通过设置围挡、物料遮盖、洒水降尘等措施减少施工废气对环境的影响；</w:t>
      </w:r>
      <w:r>
        <w:rPr>
          <w:rFonts w:hint="eastAsia" w:ascii="仿宋_GB2312" w:hAnsi="仿宋_GB2312" w:eastAsia="仿宋_GB2312" w:cs="仿宋_GB2312"/>
          <w:sz w:val="32"/>
          <w:szCs w:val="32"/>
        </w:rPr>
        <w:t>采取选用合格油品，减少运输车辆和燃油动力机械尾气</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lang w:val="en-US" w:eastAsia="zh-CN"/>
        </w:rPr>
        <w:t>确保非道路移动机械尾气达标排放</w:t>
      </w:r>
      <w:r>
        <w:rPr>
          <w:rFonts w:hint="eastAsia" w:ascii="仿宋_GB2312" w:hAnsi="仿宋_GB2312" w:eastAsia="仿宋_GB2312" w:cs="仿宋_GB2312"/>
          <w:sz w:val="32"/>
          <w:szCs w:val="32"/>
        </w:rPr>
        <w:t>；选用低噪声施工设备等措施控制声环境影响；</w:t>
      </w:r>
      <w:r>
        <w:rPr>
          <w:rFonts w:hint="eastAsia" w:ascii="仿宋_GB2312" w:hAnsi="仿宋_GB2312" w:eastAsia="仿宋_GB2312" w:cs="仿宋_GB2312"/>
          <w:sz w:val="32"/>
          <w:szCs w:val="32"/>
          <w:lang w:val="en-US" w:eastAsia="zh-CN"/>
        </w:rPr>
        <w:t>各类固体废物按要求合规收集、安全处置</w:t>
      </w:r>
      <w:r>
        <w:rPr>
          <w:rFonts w:hint="eastAsia" w:ascii="仿宋_GB2312" w:hAnsi="仿宋_GB2312" w:eastAsia="仿宋_GB2312" w:cs="仿宋_GB2312"/>
          <w:sz w:val="32"/>
          <w:szCs w:val="32"/>
        </w:rPr>
        <w:t>；各类废水应收尽收、合理处置；切实落实施工期各项环保工作，尽量缩短施工期。</w:t>
      </w:r>
    </w:p>
    <w:p w14:paraId="54D593E7">
      <w:pPr>
        <w:pStyle w:val="3"/>
        <w:keepNext w:val="0"/>
        <w:keepLines w:val="0"/>
        <w:pageBreakBefore w:val="0"/>
        <w:widowControl w:val="0"/>
        <w:kinsoku/>
        <w:wordWrap/>
        <w:overflowPunct/>
        <w:topLinePunct w:val="0"/>
        <w:autoSpaceDE/>
        <w:autoSpaceDN/>
        <w:bidi w:val="0"/>
        <w:adjustRightInd w:val="0"/>
        <w:snapToGrid/>
        <w:spacing w:line="540" w:lineRule="exact"/>
        <w:ind w:left="0" w:right="0" w:firstLine="640" w:firstLineChars="200"/>
        <w:jc w:val="both"/>
        <w:textAlignment w:val="baseline"/>
        <w:rPr>
          <w:rFonts w:hint="eastAsia"/>
          <w:lang w:eastAsia="zh-CN"/>
        </w:rPr>
      </w:pPr>
      <w:r>
        <w:rPr>
          <w:rFonts w:hint="eastAsia" w:ascii="楷体_GB2312" w:hAnsi="楷体_GB2312" w:eastAsia="楷体_GB2312" w:cs="楷体_GB2312"/>
          <w:spacing w:val="0"/>
          <w:position w:val="0"/>
          <w:sz w:val="32"/>
          <w:szCs w:val="32"/>
          <w:lang w:val="en-US" w:eastAsia="zh-CN"/>
        </w:rPr>
        <w:t>2</w:t>
      </w:r>
      <w:r>
        <w:rPr>
          <w:rFonts w:hint="eastAsia" w:ascii="楷体_GB2312" w:hAnsi="楷体_GB2312" w:eastAsia="楷体_GB2312" w:cs="楷体_GB2312"/>
          <w:spacing w:val="0"/>
          <w:position w:val="0"/>
          <w:sz w:val="32"/>
          <w:szCs w:val="32"/>
        </w:rPr>
        <w:t>.加强废气污染防治工作。</w:t>
      </w:r>
      <w:r>
        <w:rPr>
          <w:rFonts w:hint="eastAsia" w:ascii="仿宋_GB2312" w:hAnsi="仿宋_GB2312" w:eastAsia="仿宋_GB2312" w:cs="仿宋_GB2312"/>
          <w:sz w:val="32"/>
          <w:szCs w:val="32"/>
        </w:rPr>
        <w:t>严格控制项目废气污染，规范建设各废气集排气系统和处理设施</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加强日常监管，规范操作</w:t>
      </w:r>
      <w:r>
        <w:rPr>
          <w:rFonts w:hint="eastAsia" w:ascii="仿宋_GB2312" w:hAnsi="仿宋_GB2312" w:eastAsia="仿宋_GB2312" w:cs="仿宋_GB2312"/>
          <w:sz w:val="32"/>
          <w:szCs w:val="32"/>
          <w:lang w:val="en-US" w:eastAsia="zh-CN"/>
        </w:rPr>
        <w:t>，</w:t>
      </w:r>
      <w:r>
        <w:rPr>
          <w:rFonts w:hint="eastAsia" w:ascii="仿宋_GB2312" w:hAnsi="仿宋_GB2312" w:eastAsia="仿宋_GB2312" w:cs="仿宋_GB2312"/>
          <w:sz w:val="32"/>
          <w:szCs w:val="32"/>
        </w:rPr>
        <w:t>防止跑冒滴漏，最大限度减少生产过程中的废气无组织排放。</w:t>
      </w:r>
      <w:r>
        <w:rPr>
          <w:rFonts w:hint="eastAsia" w:ascii="仿宋_GB2312" w:hAnsi="仿宋_GB2312" w:eastAsia="仿宋_GB2312" w:cs="仿宋_GB2312"/>
          <w:spacing w:val="0"/>
          <w:position w:val="0"/>
          <w:sz w:val="32"/>
          <w:szCs w:val="32"/>
        </w:rPr>
        <w:t>项目营运期</w:t>
      </w:r>
      <w:r>
        <w:rPr>
          <w:rFonts w:hint="eastAsia" w:ascii="仿宋_GB2312" w:hAnsi="仿宋_GB2312" w:eastAsia="仿宋_GB2312" w:cs="仿宋_GB2312"/>
          <w:spacing w:val="0"/>
          <w:position w:val="0"/>
          <w:sz w:val="32"/>
          <w:szCs w:val="32"/>
          <w:lang w:val="en-US" w:eastAsia="zh-CN"/>
        </w:rPr>
        <w:t>清洗车间</w:t>
      </w:r>
      <w:r>
        <w:rPr>
          <w:rFonts w:hint="default" w:ascii="仿宋_GB2312" w:hAnsi="仿宋_GB2312" w:eastAsia="仿宋_GB2312" w:cs="仿宋_GB2312"/>
          <w:spacing w:val="0"/>
          <w:position w:val="0"/>
          <w:sz w:val="32"/>
          <w:szCs w:val="32"/>
          <w:lang w:val="en-US" w:eastAsia="zh-CN"/>
        </w:rPr>
        <w:t>废气由采用软管密闭收集+负压车间+碱液喷淋</w:t>
      </w:r>
      <w:r>
        <w:rPr>
          <w:rFonts w:hint="eastAsia" w:ascii="仿宋_GB2312" w:hAnsi="仿宋_GB2312" w:eastAsia="仿宋_GB2312" w:cs="仿宋_GB2312"/>
          <w:spacing w:val="0"/>
          <w:position w:val="0"/>
          <w:sz w:val="32"/>
          <w:szCs w:val="32"/>
          <w:lang w:val="en-US" w:eastAsia="zh-CN"/>
        </w:rPr>
        <w:t>+除湿器</w:t>
      </w:r>
      <w:r>
        <w:rPr>
          <w:rFonts w:hint="default" w:ascii="仿宋_GB2312" w:hAnsi="仿宋_GB2312" w:eastAsia="仿宋_GB2312" w:cs="仿宋_GB2312"/>
          <w:spacing w:val="0"/>
          <w:position w:val="0"/>
          <w:sz w:val="32"/>
          <w:szCs w:val="32"/>
          <w:lang w:val="en-US" w:eastAsia="zh-CN"/>
        </w:rPr>
        <w:t>+二级活性炭吸附</w:t>
      </w:r>
      <w:r>
        <w:rPr>
          <w:rFonts w:hint="eastAsia" w:ascii="仿宋_GB2312" w:hAnsi="仿宋_GB2312" w:eastAsia="仿宋_GB2312" w:cs="仿宋_GB2312"/>
          <w:spacing w:val="0"/>
          <w:position w:val="0"/>
          <w:sz w:val="32"/>
          <w:szCs w:val="32"/>
          <w:lang w:val="en-US" w:eastAsia="zh-CN"/>
        </w:rPr>
        <w:t>后通过</w:t>
      </w:r>
      <w:r>
        <w:rPr>
          <w:rFonts w:hint="default" w:ascii="仿宋_GB2312" w:hAnsi="仿宋_GB2312" w:eastAsia="仿宋_GB2312" w:cs="仿宋_GB2312"/>
          <w:spacing w:val="0"/>
          <w:position w:val="0"/>
          <w:sz w:val="32"/>
          <w:szCs w:val="32"/>
          <w:lang w:val="en-US" w:eastAsia="zh-CN"/>
        </w:rPr>
        <w:t>15m高排气筒（DA001）</w:t>
      </w:r>
      <w:r>
        <w:rPr>
          <w:rFonts w:hint="eastAsia" w:ascii="仿宋_GB2312" w:hAnsi="仿宋_GB2312" w:eastAsia="仿宋_GB2312" w:cs="仿宋_GB2312"/>
          <w:spacing w:val="0"/>
          <w:position w:val="0"/>
          <w:sz w:val="32"/>
          <w:szCs w:val="32"/>
          <w:lang w:val="en-US" w:eastAsia="zh-CN"/>
        </w:rPr>
        <w:t>达标排放</w:t>
      </w:r>
      <w:r>
        <w:rPr>
          <w:rFonts w:hint="eastAsia" w:ascii="仿宋_GB2312" w:hAnsi="仿宋_GB2312" w:eastAsia="仿宋_GB2312" w:cs="仿宋_GB2312"/>
          <w:spacing w:val="0"/>
          <w:position w:val="0"/>
          <w:sz w:val="32"/>
          <w:szCs w:val="32"/>
          <w:lang w:eastAsia="zh-CN"/>
        </w:rPr>
        <w:t>；</w:t>
      </w:r>
      <w:r>
        <w:rPr>
          <w:rFonts w:hint="default" w:ascii="仿宋_GB2312" w:hAnsi="仿宋_GB2312" w:eastAsia="仿宋_GB2312" w:cs="仿宋_GB2312"/>
          <w:sz w:val="32"/>
          <w:szCs w:val="32"/>
          <w:lang w:val="en-US" w:eastAsia="zh-CN"/>
        </w:rPr>
        <w:t>污水站废气加盖密闭收集后通过酸碱喷淋</w:t>
      </w:r>
      <w:r>
        <w:rPr>
          <w:rFonts w:hint="eastAsia" w:ascii="仿宋_GB2312" w:hAnsi="仿宋_GB2312" w:eastAsia="仿宋_GB2312" w:cs="仿宋_GB2312"/>
          <w:spacing w:val="0"/>
          <w:position w:val="0"/>
          <w:sz w:val="32"/>
          <w:szCs w:val="32"/>
          <w:lang w:val="en-US" w:eastAsia="zh-CN"/>
        </w:rPr>
        <w:t>+除湿器</w:t>
      </w:r>
      <w:r>
        <w:rPr>
          <w:rFonts w:hint="default" w:ascii="仿宋_GB2312" w:hAnsi="仿宋_GB2312" w:eastAsia="仿宋_GB2312" w:cs="仿宋_GB2312"/>
          <w:sz w:val="32"/>
          <w:szCs w:val="32"/>
          <w:lang w:val="en-US" w:eastAsia="zh-CN"/>
        </w:rPr>
        <w:t>+二级活性炭处理后通过15m高排气筒(DA002）</w:t>
      </w:r>
      <w:r>
        <w:rPr>
          <w:rFonts w:hint="eastAsia" w:ascii="仿宋_GB2312" w:hAnsi="仿宋_GB2312" w:eastAsia="仿宋_GB2312" w:cs="仿宋_GB2312"/>
          <w:spacing w:val="0"/>
          <w:position w:val="0"/>
          <w:sz w:val="32"/>
          <w:szCs w:val="32"/>
          <w:lang w:val="en-US" w:eastAsia="zh-CN"/>
        </w:rPr>
        <w:t>达标排放</w:t>
      </w:r>
      <w:r>
        <w:rPr>
          <w:rFonts w:hint="eastAsia" w:ascii="仿宋_GB2312" w:hAnsi="仿宋_GB2312" w:eastAsia="仿宋_GB2312" w:cs="仿宋_GB2312"/>
          <w:sz w:val="32"/>
          <w:szCs w:val="32"/>
          <w:lang w:val="en-US" w:eastAsia="zh-CN"/>
        </w:rPr>
        <w:t>；</w:t>
      </w:r>
      <w:r>
        <w:rPr>
          <w:rFonts w:hint="default" w:ascii="仿宋_GB2312" w:hAnsi="仿宋_GB2312" w:eastAsia="仿宋_GB2312" w:cs="仿宋_GB2312"/>
          <w:sz w:val="32"/>
          <w:szCs w:val="32"/>
          <w:lang w:val="en-US" w:eastAsia="zh-CN"/>
        </w:rPr>
        <w:t>焊接烟尘采用移动式焊接烟尘净化器处理后</w:t>
      </w:r>
      <w:r>
        <w:rPr>
          <w:rFonts w:hint="eastAsia" w:ascii="仿宋_GB2312" w:hAnsi="仿宋_GB2312" w:eastAsia="仿宋_GB2312" w:cs="仿宋_GB2312"/>
          <w:sz w:val="32"/>
          <w:szCs w:val="32"/>
          <w:lang w:val="en-US" w:eastAsia="zh-CN"/>
        </w:rPr>
        <w:t>无组织</w:t>
      </w:r>
      <w:r>
        <w:rPr>
          <w:rFonts w:hint="default" w:ascii="仿宋_GB2312" w:hAnsi="仿宋_GB2312" w:eastAsia="仿宋_GB2312" w:cs="仿宋_GB2312"/>
          <w:sz w:val="32"/>
          <w:szCs w:val="32"/>
          <w:lang w:val="en-US" w:eastAsia="zh-CN"/>
        </w:rPr>
        <w:t>排放</w:t>
      </w:r>
      <w:r>
        <w:rPr>
          <w:rFonts w:hint="eastAsia" w:ascii="仿宋_GB2312" w:hAnsi="仿宋_GB2312" w:eastAsia="仿宋_GB2312" w:cs="仿宋_GB2312"/>
          <w:sz w:val="32"/>
          <w:szCs w:val="32"/>
          <w:lang w:val="en-US" w:eastAsia="zh-CN"/>
        </w:rPr>
        <w:t>。</w:t>
      </w:r>
      <w:r>
        <w:rPr>
          <w:rFonts w:hint="eastAsia" w:ascii="仿宋_GB2312" w:hAnsi="仿宋_GB2312" w:eastAsia="仿宋_GB2312" w:cs="仿宋_GB2312"/>
          <w:spacing w:val="0"/>
          <w:position w:val="0"/>
          <w:sz w:val="32"/>
          <w:szCs w:val="32"/>
        </w:rPr>
        <w:t>项目有组织废气</w:t>
      </w:r>
      <w:r>
        <w:rPr>
          <w:rFonts w:hint="eastAsia" w:ascii="仿宋_GB2312" w:hAnsi="仿宋_GB2312" w:eastAsia="仿宋_GB2312" w:cs="仿宋_GB2312"/>
          <w:spacing w:val="0"/>
          <w:position w:val="0"/>
          <w:sz w:val="32"/>
          <w:szCs w:val="32"/>
          <w:lang w:val="en-US" w:eastAsia="zh-CN"/>
        </w:rPr>
        <w:t>执行</w:t>
      </w:r>
      <w:r>
        <w:rPr>
          <w:rFonts w:hint="default" w:ascii="仿宋_GB2312" w:hAnsi="仿宋_GB2312" w:eastAsia="仿宋_GB2312" w:cs="仿宋_GB2312"/>
          <w:spacing w:val="0"/>
          <w:position w:val="0"/>
          <w:sz w:val="32"/>
          <w:szCs w:val="32"/>
        </w:rPr>
        <w:t>《大气污染物综合排放标准》（GB16297-1996）</w:t>
      </w:r>
      <w:r>
        <w:rPr>
          <w:rFonts w:hint="eastAsia" w:ascii="仿宋_GB2312" w:hAnsi="仿宋_GB2312" w:eastAsia="仿宋_GB2312" w:cs="仿宋_GB2312"/>
          <w:spacing w:val="0"/>
          <w:position w:val="0"/>
          <w:sz w:val="32"/>
          <w:szCs w:val="32"/>
        </w:rPr>
        <w:t>表</w:t>
      </w:r>
      <w:r>
        <w:rPr>
          <w:rFonts w:hint="eastAsia" w:ascii="仿宋_GB2312" w:hAnsi="仿宋_GB2312" w:eastAsia="仿宋_GB2312" w:cs="仿宋_GB2312"/>
          <w:spacing w:val="0"/>
          <w:position w:val="0"/>
          <w:sz w:val="32"/>
          <w:szCs w:val="32"/>
          <w:lang w:val="en-US" w:eastAsia="zh-CN"/>
        </w:rPr>
        <w:t>2</w:t>
      </w:r>
      <w:r>
        <w:rPr>
          <w:rFonts w:hint="default" w:ascii="仿宋_GB2312" w:hAnsi="仿宋_GB2312" w:eastAsia="仿宋_GB2312" w:cs="仿宋_GB2312"/>
          <w:spacing w:val="0"/>
          <w:position w:val="0"/>
          <w:sz w:val="32"/>
          <w:szCs w:val="32"/>
        </w:rPr>
        <w:t>中二级标准</w:t>
      </w:r>
      <w:r>
        <w:rPr>
          <w:rFonts w:hint="eastAsia" w:ascii="仿宋_GB2312" w:hAnsi="仿宋_GB2312" w:eastAsia="仿宋_GB2312" w:cs="仿宋_GB2312"/>
          <w:spacing w:val="0"/>
          <w:position w:val="0"/>
          <w:sz w:val="32"/>
          <w:szCs w:val="32"/>
        </w:rPr>
        <w:t>排放限值</w:t>
      </w:r>
      <w:r>
        <w:rPr>
          <w:rFonts w:hint="eastAsia" w:ascii="仿宋_GB2312" w:hAnsi="仿宋_GB2312" w:eastAsia="仿宋_GB2312" w:cs="仿宋_GB2312"/>
          <w:spacing w:val="0"/>
          <w:position w:val="0"/>
          <w:sz w:val="32"/>
          <w:szCs w:val="32"/>
          <w:lang w:val="en-US" w:eastAsia="zh-CN"/>
        </w:rPr>
        <w:t>和</w:t>
      </w:r>
      <w:r>
        <w:rPr>
          <w:rFonts w:hint="default" w:ascii="仿宋_GB2312" w:hAnsi="仿宋_GB2312" w:eastAsia="仿宋_GB2312" w:cs="仿宋_GB2312"/>
          <w:spacing w:val="0"/>
          <w:position w:val="0"/>
          <w:sz w:val="32"/>
          <w:szCs w:val="32"/>
        </w:rPr>
        <w:t>《恶臭污染物排放标准》</w:t>
      </w:r>
      <w:r>
        <w:rPr>
          <w:rFonts w:hint="default" w:ascii="仿宋_GB2312" w:hAnsi="仿宋_GB2312" w:eastAsia="仿宋_GB2312" w:cs="仿宋_GB2312"/>
          <w:spacing w:val="0"/>
          <w:position w:val="0"/>
          <w:sz w:val="32"/>
          <w:szCs w:val="32"/>
          <w:lang w:eastAsia="zh-CN"/>
        </w:rPr>
        <w:t>（</w:t>
      </w:r>
      <w:r>
        <w:rPr>
          <w:rFonts w:hint="default" w:ascii="仿宋_GB2312" w:hAnsi="仿宋_GB2312" w:eastAsia="仿宋_GB2312" w:cs="仿宋_GB2312"/>
          <w:spacing w:val="0"/>
          <w:position w:val="0"/>
          <w:sz w:val="32"/>
          <w:szCs w:val="32"/>
        </w:rPr>
        <w:t>GB14554-93</w:t>
      </w:r>
      <w:r>
        <w:rPr>
          <w:rFonts w:hint="default" w:ascii="仿宋_GB2312" w:hAnsi="仿宋_GB2312" w:eastAsia="仿宋_GB2312" w:cs="仿宋_GB2312"/>
          <w:spacing w:val="0"/>
          <w:position w:val="0"/>
          <w:sz w:val="32"/>
          <w:szCs w:val="32"/>
          <w:lang w:eastAsia="zh-CN"/>
        </w:rPr>
        <w:t>）</w:t>
      </w:r>
      <w:r>
        <w:rPr>
          <w:rFonts w:hint="eastAsia" w:ascii="仿宋_GB2312" w:hAnsi="仿宋_GB2312" w:eastAsia="仿宋_GB2312" w:cs="仿宋_GB2312"/>
          <w:spacing w:val="0"/>
          <w:position w:val="0"/>
          <w:sz w:val="32"/>
          <w:szCs w:val="32"/>
        </w:rPr>
        <w:t>表</w:t>
      </w:r>
      <w:r>
        <w:rPr>
          <w:rFonts w:hint="eastAsia" w:ascii="仿宋_GB2312" w:hAnsi="仿宋_GB2312" w:eastAsia="仿宋_GB2312" w:cs="仿宋_GB2312"/>
          <w:spacing w:val="0"/>
          <w:position w:val="0"/>
          <w:sz w:val="32"/>
          <w:szCs w:val="32"/>
          <w:lang w:val="en-US" w:eastAsia="zh-CN"/>
        </w:rPr>
        <w:t>2</w:t>
      </w:r>
      <w:r>
        <w:rPr>
          <w:rFonts w:hint="eastAsia" w:ascii="仿宋_GB2312" w:hAnsi="仿宋_GB2312" w:eastAsia="仿宋_GB2312" w:cs="仿宋_GB2312"/>
          <w:spacing w:val="0"/>
          <w:position w:val="0"/>
          <w:sz w:val="32"/>
          <w:szCs w:val="32"/>
        </w:rPr>
        <w:t>排放限值</w:t>
      </w:r>
      <w:r>
        <w:rPr>
          <w:rFonts w:hint="eastAsia" w:ascii="仿宋_GB2312" w:hAnsi="仿宋_GB2312" w:eastAsia="仿宋_GB2312" w:cs="仿宋_GB2312"/>
          <w:spacing w:val="0"/>
          <w:position w:val="0"/>
          <w:sz w:val="32"/>
          <w:szCs w:val="32"/>
          <w:lang w:val="en-US" w:eastAsia="zh-CN"/>
        </w:rPr>
        <w:t>要求</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color w:val="auto"/>
          <w:spacing w:val="5"/>
          <w:sz w:val="32"/>
          <w:szCs w:val="32"/>
          <w:highlight w:val="none"/>
        </w:rPr>
        <w:t>厂界</w:t>
      </w:r>
      <w:r>
        <w:rPr>
          <w:rFonts w:hint="eastAsia" w:ascii="仿宋_GB2312" w:hAnsi="仿宋_GB2312" w:eastAsia="仿宋_GB2312" w:cs="仿宋_GB2312"/>
          <w:spacing w:val="0"/>
          <w:position w:val="0"/>
          <w:sz w:val="32"/>
          <w:szCs w:val="32"/>
          <w:highlight w:val="none"/>
          <w:lang w:val="en-US" w:eastAsia="zh-CN"/>
        </w:rPr>
        <w:t>无组织废气</w:t>
      </w:r>
      <w:r>
        <w:rPr>
          <w:rFonts w:hint="eastAsia" w:ascii="仿宋_GB2312" w:hAnsi="仿宋_GB2312" w:eastAsia="仿宋_GB2312" w:cs="仿宋_GB2312"/>
          <w:spacing w:val="0"/>
          <w:position w:val="0"/>
          <w:sz w:val="32"/>
          <w:szCs w:val="32"/>
        </w:rPr>
        <w:t>执行《大气污染物综合排放标准》（GB16297-1996）表2中无组织排放监控浓度限值</w:t>
      </w:r>
      <w:r>
        <w:rPr>
          <w:rFonts w:hint="eastAsia" w:ascii="仿宋_GB2312" w:hAnsi="仿宋_GB2312" w:eastAsia="仿宋_GB2312" w:cs="仿宋_GB2312"/>
          <w:spacing w:val="0"/>
          <w:position w:val="0"/>
          <w:sz w:val="32"/>
          <w:szCs w:val="32"/>
          <w:lang w:val="en-US" w:eastAsia="zh-CN"/>
        </w:rPr>
        <w:t>和</w:t>
      </w:r>
      <w:r>
        <w:rPr>
          <w:rFonts w:hint="eastAsia" w:ascii="仿宋_GB2312" w:hAnsi="仿宋_GB2312" w:eastAsia="仿宋_GB2312" w:cs="仿宋_GB2312"/>
          <w:spacing w:val="0"/>
          <w:position w:val="0"/>
          <w:sz w:val="32"/>
          <w:szCs w:val="32"/>
        </w:rPr>
        <w:t>《恶臭污染物排放标准》（GB14554-93）表1标准限值</w:t>
      </w:r>
      <w:r>
        <w:rPr>
          <w:rFonts w:hint="eastAsia" w:ascii="仿宋_GB2312" w:hAnsi="仿宋_GB2312" w:eastAsia="仿宋_GB2312" w:cs="仿宋_GB2312"/>
          <w:spacing w:val="0"/>
          <w:position w:val="0"/>
          <w:sz w:val="32"/>
          <w:szCs w:val="32"/>
          <w:lang w:eastAsia="zh-CN"/>
        </w:rPr>
        <w:t>要求；</w:t>
      </w:r>
      <w:r>
        <w:rPr>
          <w:rFonts w:hint="eastAsia" w:ascii="仿宋_GB2312" w:hAnsi="仿宋_GB2312" w:eastAsia="仿宋_GB2312" w:cs="仿宋_GB2312"/>
          <w:sz w:val="32"/>
          <w:szCs w:val="32"/>
        </w:rPr>
        <w:t>厂区内非甲烷总烃无组织排放监控点浓度执行《挥发性有机物无组织排放控制标准》（GB37822-2019）附录A表A.1排放浓度限值要求</w:t>
      </w:r>
      <w:r>
        <w:rPr>
          <w:rFonts w:hint="eastAsia" w:ascii="仿宋_GB2312" w:hAnsi="仿宋_GB2312" w:eastAsia="仿宋_GB2312" w:cs="仿宋_GB2312"/>
          <w:sz w:val="32"/>
          <w:szCs w:val="32"/>
          <w:highlight w:val="none"/>
          <w:lang w:val="en-US" w:eastAsia="zh-CN"/>
        </w:rPr>
        <w:t>。</w:t>
      </w:r>
    </w:p>
    <w:p w14:paraId="7DEC3700">
      <w:pPr>
        <w:keepNext w:val="0"/>
        <w:keepLines w:val="0"/>
        <w:pageBreakBefore w:val="0"/>
        <w:widowControl w:val="0"/>
        <w:numPr>
          <w:ilvl w:val="0"/>
          <w:numId w:val="1"/>
        </w:numPr>
        <w:suppressLineNumbers w:val="0"/>
        <w:kinsoku/>
        <w:wordWrap/>
        <w:overflowPunct/>
        <w:topLinePunct w:val="0"/>
        <w:autoSpaceDE/>
        <w:autoSpaceDN/>
        <w:bidi w:val="0"/>
        <w:adjustRightInd w:val="0"/>
        <w:snapToGrid/>
        <w:spacing w:line="540" w:lineRule="exact"/>
        <w:ind w:left="0" w:right="0" w:firstLine="640" w:firstLineChars="200"/>
        <w:jc w:val="both"/>
        <w:textAlignment w:val="baseline"/>
        <w:rPr>
          <w:rFonts w:hint="eastAsia" w:ascii="仿宋_GB2312" w:hAnsi="仿宋_GB2312" w:eastAsia="仿宋_GB2312" w:cs="仿宋_GB2312"/>
          <w:snapToGrid w:val="0"/>
          <w:color w:val="auto"/>
          <w:kern w:val="0"/>
          <w:sz w:val="32"/>
          <w:szCs w:val="32"/>
          <w:lang w:val="en-US" w:eastAsia="zh-CN" w:bidi="ar-SA"/>
        </w:rPr>
      </w:pPr>
      <w:r>
        <w:rPr>
          <w:rFonts w:hint="eastAsia" w:ascii="楷体_GB2312" w:hAnsi="楷体_GB2312" w:eastAsia="楷体_GB2312" w:cs="楷体_GB2312"/>
          <w:snapToGrid w:val="0"/>
          <w:color w:val="000000"/>
          <w:spacing w:val="0"/>
          <w:kern w:val="0"/>
          <w:position w:val="0"/>
          <w:sz w:val="32"/>
          <w:szCs w:val="32"/>
          <w:lang w:val="en-US" w:eastAsia="zh-CN" w:bidi="ar-SA"/>
        </w:rPr>
        <w:t>加强废水污染防治工作。</w:t>
      </w:r>
      <w:r>
        <w:rPr>
          <w:rFonts w:hint="eastAsia" w:ascii="仿宋_GB2312" w:hAnsi="仿宋_GB2312" w:eastAsia="仿宋_GB2312" w:cs="仿宋_GB2312"/>
          <w:snapToGrid w:val="0"/>
          <w:color w:val="000000"/>
          <w:spacing w:val="0"/>
          <w:kern w:val="0"/>
          <w:position w:val="0"/>
          <w:sz w:val="32"/>
          <w:szCs w:val="32"/>
          <w:lang w:val="en-US" w:eastAsia="zh-CN" w:bidi="ar-SA"/>
        </w:rPr>
        <w:t>项目须严格按照“雨污分流、清污分流、污污分流”的原则建设厂区雨污水管网。项目运营期废水包括</w:t>
      </w:r>
      <w:r>
        <w:rPr>
          <w:rFonts w:hint="default" w:ascii="仿宋_GB2312" w:hAnsi="仿宋_GB2312" w:eastAsia="仿宋_GB2312" w:cs="仿宋_GB2312"/>
          <w:snapToGrid w:val="0"/>
          <w:color w:val="000000"/>
          <w:spacing w:val="0"/>
          <w:kern w:val="0"/>
          <w:position w:val="0"/>
          <w:sz w:val="32"/>
          <w:szCs w:val="32"/>
          <w:lang w:val="en-US" w:eastAsia="zh-CN" w:bidi="ar-SA"/>
        </w:rPr>
        <w:t>罐车清洗废水、</w:t>
      </w:r>
      <w:r>
        <w:rPr>
          <w:rFonts w:hint="eastAsia" w:ascii="仿宋_GB2312" w:hAnsi="仿宋_GB2312" w:eastAsia="仿宋_GB2312" w:cs="仿宋_GB2312"/>
          <w:snapToGrid w:val="0"/>
          <w:color w:val="000000"/>
          <w:spacing w:val="0"/>
          <w:kern w:val="0"/>
          <w:position w:val="0"/>
          <w:sz w:val="32"/>
          <w:szCs w:val="32"/>
          <w:lang w:val="en-US" w:eastAsia="zh-CN" w:bidi="ar-SA"/>
        </w:rPr>
        <w:t>车辆维修冲洗废水</w:t>
      </w:r>
      <w:r>
        <w:rPr>
          <w:rFonts w:hint="default" w:ascii="仿宋_GB2312" w:hAnsi="仿宋_GB2312" w:eastAsia="仿宋_GB2312" w:cs="仿宋_GB2312"/>
          <w:snapToGrid w:val="0"/>
          <w:color w:val="000000"/>
          <w:spacing w:val="0"/>
          <w:kern w:val="0"/>
          <w:position w:val="0"/>
          <w:sz w:val="32"/>
          <w:szCs w:val="32"/>
          <w:lang w:val="en-US" w:eastAsia="zh-CN" w:bidi="ar-SA"/>
        </w:rPr>
        <w:t>、喷淋塔循环废水、地面清</w:t>
      </w:r>
      <w:r>
        <w:rPr>
          <w:rFonts w:hint="eastAsia" w:ascii="仿宋_GB2312" w:hAnsi="仿宋_GB2312" w:eastAsia="仿宋_GB2312" w:cs="仿宋_GB2312"/>
          <w:snapToGrid w:val="0"/>
          <w:color w:val="000000"/>
          <w:spacing w:val="0"/>
          <w:kern w:val="0"/>
          <w:position w:val="0"/>
          <w:sz w:val="32"/>
          <w:szCs w:val="32"/>
          <w:lang w:val="en-US" w:eastAsia="zh-CN" w:bidi="ar-SA"/>
        </w:rPr>
        <w:t>洗</w:t>
      </w:r>
      <w:r>
        <w:rPr>
          <w:rFonts w:hint="default" w:ascii="仿宋_GB2312" w:hAnsi="仿宋_GB2312" w:eastAsia="仿宋_GB2312" w:cs="仿宋_GB2312"/>
          <w:snapToGrid w:val="0"/>
          <w:color w:val="000000"/>
          <w:spacing w:val="0"/>
          <w:kern w:val="0"/>
          <w:position w:val="0"/>
          <w:sz w:val="32"/>
          <w:szCs w:val="32"/>
          <w:lang w:val="en-US" w:eastAsia="zh-CN" w:bidi="ar-SA"/>
        </w:rPr>
        <w:t>废水</w:t>
      </w:r>
      <w:r>
        <w:rPr>
          <w:rFonts w:hint="eastAsia" w:ascii="仿宋_GB2312" w:hAnsi="仿宋_GB2312" w:eastAsia="仿宋_GB2312" w:cs="仿宋_GB2312"/>
          <w:snapToGrid w:val="0"/>
          <w:color w:val="000000"/>
          <w:spacing w:val="0"/>
          <w:kern w:val="0"/>
          <w:position w:val="0"/>
          <w:sz w:val="32"/>
          <w:szCs w:val="32"/>
          <w:lang w:val="en-US" w:eastAsia="zh-CN" w:bidi="ar-SA"/>
        </w:rPr>
        <w:t>、初期雨水以及</w:t>
      </w:r>
      <w:r>
        <w:rPr>
          <w:rFonts w:hint="default" w:ascii="仿宋_GB2312" w:hAnsi="仿宋_GB2312" w:eastAsia="仿宋_GB2312" w:cs="仿宋_GB2312"/>
          <w:snapToGrid w:val="0"/>
          <w:color w:val="000000"/>
          <w:spacing w:val="0"/>
          <w:kern w:val="0"/>
          <w:position w:val="0"/>
          <w:sz w:val="32"/>
          <w:szCs w:val="32"/>
          <w:lang w:val="en-US" w:eastAsia="zh-CN" w:bidi="ar-SA"/>
        </w:rPr>
        <w:t>生活污水</w:t>
      </w:r>
      <w:r>
        <w:rPr>
          <w:rFonts w:hint="eastAsia" w:ascii="仿宋_GB2312" w:hAnsi="仿宋_GB2312" w:eastAsia="仿宋_GB2312" w:cs="仿宋_GB2312"/>
          <w:snapToGrid w:val="0"/>
          <w:color w:val="000000"/>
          <w:spacing w:val="0"/>
          <w:kern w:val="0"/>
          <w:position w:val="0"/>
          <w:sz w:val="32"/>
          <w:szCs w:val="32"/>
          <w:lang w:val="en-US" w:eastAsia="zh-CN" w:bidi="ar-SA"/>
        </w:rPr>
        <w:t>等。项目生产废水经厂区污水处理站（</w:t>
      </w:r>
      <w:r>
        <w:rPr>
          <w:rFonts w:hint="default" w:ascii="仿宋_GB2312" w:hAnsi="仿宋_GB2312" w:eastAsia="仿宋_GB2312" w:cs="仿宋_GB2312"/>
          <w:snapToGrid w:val="0"/>
          <w:color w:val="000000"/>
          <w:spacing w:val="0"/>
          <w:kern w:val="0"/>
          <w:position w:val="0"/>
          <w:sz w:val="32"/>
          <w:szCs w:val="32"/>
          <w:lang w:val="en-US" w:eastAsia="zh-CN" w:bidi="ar-SA"/>
        </w:rPr>
        <w:t>格栅/调节+隔油+气浮+中和及混凝沉淀+芬顿氧化+生化调节+水解酸化+接触氧化+MBR等</w:t>
      </w:r>
      <w:r>
        <w:rPr>
          <w:rFonts w:hint="eastAsia" w:ascii="仿宋_GB2312" w:hAnsi="仿宋_GB2312" w:eastAsia="仿宋_GB2312" w:cs="仿宋_GB2312"/>
          <w:snapToGrid w:val="0"/>
          <w:color w:val="000000"/>
          <w:spacing w:val="0"/>
          <w:kern w:val="0"/>
          <w:position w:val="0"/>
          <w:sz w:val="32"/>
          <w:szCs w:val="32"/>
          <w:lang w:val="en-US" w:eastAsia="zh-CN" w:bidi="ar-SA"/>
        </w:rPr>
        <w:t>）预</w:t>
      </w:r>
      <w:r>
        <w:rPr>
          <w:rFonts w:hint="eastAsia" w:ascii="仿宋_GB2312" w:hAnsi="仿宋_GB2312" w:eastAsia="仿宋_GB2312" w:cs="仿宋_GB2312"/>
          <w:snapToGrid w:val="0"/>
          <w:color w:val="auto"/>
          <w:kern w:val="0"/>
          <w:sz w:val="32"/>
          <w:szCs w:val="32"/>
          <w:lang w:val="en-US" w:eastAsia="zh-CN" w:bidi="ar-SA"/>
        </w:rPr>
        <w:t>处理达标后通过工业污水管网排入云溪污水处理厂进一步处理。其中</w:t>
      </w:r>
      <w:r>
        <w:rPr>
          <w:rFonts w:hint="default" w:ascii="仿宋_GB2312" w:hAnsi="仿宋_GB2312" w:eastAsia="仿宋_GB2312" w:cs="仿宋_GB2312"/>
          <w:snapToGrid w:val="0"/>
          <w:color w:val="000000"/>
          <w:spacing w:val="0"/>
          <w:kern w:val="0"/>
          <w:position w:val="0"/>
          <w:sz w:val="32"/>
          <w:szCs w:val="32"/>
          <w:lang w:val="en-US" w:eastAsia="zh-CN" w:bidi="ar-SA"/>
        </w:rPr>
        <w:t>初期雨水排入收集池</w:t>
      </w:r>
      <w:r>
        <w:rPr>
          <w:rFonts w:hint="eastAsia" w:ascii="仿宋_GB2312" w:hAnsi="仿宋_GB2312" w:eastAsia="仿宋_GB2312" w:cs="仿宋_GB2312"/>
          <w:snapToGrid w:val="0"/>
          <w:color w:val="000000"/>
          <w:spacing w:val="0"/>
          <w:kern w:val="0"/>
          <w:position w:val="0"/>
          <w:sz w:val="32"/>
          <w:szCs w:val="32"/>
          <w:lang w:val="en-US" w:eastAsia="zh-CN" w:bidi="ar-SA"/>
        </w:rPr>
        <w:t>后</w:t>
      </w:r>
      <w:r>
        <w:rPr>
          <w:rFonts w:hint="default" w:ascii="仿宋_GB2312" w:hAnsi="仿宋_GB2312" w:eastAsia="仿宋_GB2312" w:cs="仿宋_GB2312"/>
          <w:snapToGrid w:val="0"/>
          <w:color w:val="000000"/>
          <w:spacing w:val="0"/>
          <w:kern w:val="0"/>
          <w:position w:val="0"/>
          <w:sz w:val="32"/>
          <w:szCs w:val="32"/>
          <w:lang w:val="en-US" w:eastAsia="zh-CN" w:bidi="ar-SA"/>
        </w:rPr>
        <w:t>，经泵抽</w:t>
      </w:r>
      <w:r>
        <w:rPr>
          <w:rFonts w:hint="default" w:ascii="仿宋_GB2312" w:hAnsi="仿宋_GB2312" w:eastAsia="仿宋_GB2312" w:cs="仿宋_GB2312"/>
          <w:snapToGrid w:val="0"/>
          <w:color w:val="auto"/>
          <w:kern w:val="0"/>
          <w:sz w:val="32"/>
          <w:szCs w:val="32"/>
          <w:lang w:val="en-US" w:eastAsia="zh-CN" w:bidi="ar-SA"/>
        </w:rPr>
        <w:t>入</w:t>
      </w:r>
      <w:r>
        <w:rPr>
          <w:rFonts w:hint="eastAsia" w:ascii="仿宋_GB2312" w:hAnsi="仿宋_GB2312" w:eastAsia="仿宋_GB2312" w:cs="仿宋_GB2312"/>
          <w:snapToGrid w:val="0"/>
          <w:color w:val="auto"/>
          <w:kern w:val="0"/>
          <w:sz w:val="32"/>
          <w:szCs w:val="32"/>
          <w:lang w:val="en-US" w:eastAsia="zh-CN" w:bidi="ar-SA"/>
        </w:rPr>
        <w:t>厂区</w:t>
      </w:r>
      <w:r>
        <w:rPr>
          <w:rFonts w:hint="default" w:ascii="仿宋_GB2312" w:hAnsi="仿宋_GB2312" w:eastAsia="仿宋_GB2312" w:cs="仿宋_GB2312"/>
          <w:snapToGrid w:val="0"/>
          <w:color w:val="auto"/>
          <w:kern w:val="0"/>
          <w:sz w:val="32"/>
          <w:szCs w:val="32"/>
          <w:lang w:val="en-US" w:eastAsia="zh-CN" w:bidi="ar-SA"/>
        </w:rPr>
        <w:t>污水处理站</w:t>
      </w:r>
      <w:r>
        <w:rPr>
          <w:rFonts w:hint="eastAsia" w:ascii="仿宋_GB2312" w:hAnsi="仿宋_GB2312" w:eastAsia="仿宋_GB2312" w:cs="仿宋_GB2312"/>
          <w:snapToGrid w:val="0"/>
          <w:color w:val="auto"/>
          <w:kern w:val="0"/>
          <w:sz w:val="32"/>
          <w:szCs w:val="32"/>
          <w:lang w:val="en-US" w:eastAsia="zh-CN" w:bidi="ar-SA"/>
        </w:rPr>
        <w:t>；生活污水经</w:t>
      </w:r>
      <w:r>
        <w:rPr>
          <w:rFonts w:hint="default" w:ascii="仿宋_GB2312" w:hAnsi="仿宋_GB2312" w:eastAsia="仿宋_GB2312" w:cs="仿宋_GB2312"/>
          <w:snapToGrid w:val="0"/>
          <w:color w:val="auto"/>
          <w:kern w:val="0"/>
          <w:sz w:val="32"/>
          <w:szCs w:val="32"/>
          <w:lang w:val="en-US" w:eastAsia="zh-CN" w:bidi="ar-SA"/>
        </w:rPr>
        <w:t>化粪池处理后排入</w:t>
      </w:r>
      <w:r>
        <w:rPr>
          <w:rFonts w:hint="eastAsia" w:ascii="仿宋_GB2312" w:hAnsi="仿宋_GB2312" w:eastAsia="仿宋_GB2312" w:cs="仿宋_GB2312"/>
          <w:snapToGrid w:val="0"/>
          <w:color w:val="auto"/>
          <w:kern w:val="0"/>
          <w:sz w:val="32"/>
          <w:szCs w:val="32"/>
          <w:lang w:val="en-US" w:eastAsia="zh-CN" w:bidi="ar-SA"/>
        </w:rPr>
        <w:t>厂</w:t>
      </w:r>
      <w:r>
        <w:rPr>
          <w:rFonts w:hint="default" w:ascii="仿宋_GB2312" w:hAnsi="仿宋_GB2312" w:eastAsia="仿宋_GB2312" w:cs="仿宋_GB2312"/>
          <w:snapToGrid w:val="0"/>
          <w:color w:val="auto"/>
          <w:kern w:val="0"/>
          <w:sz w:val="32"/>
          <w:szCs w:val="32"/>
          <w:lang w:val="en-US" w:eastAsia="zh-CN" w:bidi="ar-SA"/>
        </w:rPr>
        <w:t>区污水处理站</w:t>
      </w:r>
      <w:r>
        <w:rPr>
          <w:rFonts w:hint="eastAsia" w:ascii="仿宋_GB2312" w:hAnsi="仿宋_GB2312" w:eastAsia="仿宋_GB2312" w:cs="仿宋_GB2312"/>
          <w:snapToGrid w:val="0"/>
          <w:color w:val="auto"/>
          <w:kern w:val="0"/>
          <w:sz w:val="32"/>
          <w:szCs w:val="32"/>
          <w:lang w:val="en-US" w:eastAsia="zh-CN" w:bidi="ar-SA"/>
        </w:rPr>
        <w:t>。项目外排废水执行</w:t>
      </w:r>
      <w:r>
        <w:rPr>
          <w:rFonts w:hint="default" w:ascii="仿宋_GB2312" w:hAnsi="仿宋_GB2312" w:eastAsia="仿宋_GB2312" w:cs="仿宋_GB2312"/>
          <w:snapToGrid w:val="0"/>
          <w:color w:val="auto"/>
          <w:kern w:val="0"/>
          <w:sz w:val="32"/>
          <w:szCs w:val="32"/>
          <w:lang w:val="en-US" w:eastAsia="en-US" w:bidi="ar-SA"/>
        </w:rPr>
        <w:t>《污水综合排放标准》（GB8978-1996）三级标准</w:t>
      </w:r>
      <w:r>
        <w:rPr>
          <w:rFonts w:hint="eastAsia" w:ascii="仿宋_GB2312" w:hAnsi="仿宋_GB2312" w:eastAsia="仿宋_GB2312" w:cs="仿宋_GB2312"/>
          <w:snapToGrid w:val="0"/>
          <w:color w:val="auto"/>
          <w:kern w:val="0"/>
          <w:sz w:val="32"/>
          <w:szCs w:val="32"/>
          <w:lang w:val="en-US" w:eastAsia="zh-CN" w:bidi="ar-SA"/>
        </w:rPr>
        <w:t>和云溪污水处理厂进水水质标准中较严值。</w:t>
      </w:r>
    </w:p>
    <w:p w14:paraId="2F25D179">
      <w:pPr>
        <w:keepNext w:val="0"/>
        <w:keepLines w:val="0"/>
        <w:pageBreakBefore w:val="0"/>
        <w:widowControl w:val="0"/>
        <w:kinsoku/>
        <w:wordWrap/>
        <w:overflowPunct/>
        <w:topLinePunct w:val="0"/>
        <w:autoSpaceDN/>
        <w:bidi w:val="0"/>
        <w:adjustRightInd/>
        <w:snapToGrid/>
        <w:spacing w:after="0" w:line="540" w:lineRule="exact"/>
        <w:ind w:firstLine="640" w:firstLineChars="200"/>
        <w:jc w:val="both"/>
        <w:textAlignment w:val="auto"/>
        <w:rPr>
          <w:rFonts w:hint="eastAsia" w:ascii="仿宋_GB2312" w:hAnsi="仿宋_GB2312" w:eastAsia="仿宋_GB2312" w:cs="仿宋_GB2312"/>
          <w:sz w:val="32"/>
          <w:szCs w:val="32"/>
          <w:highlight w:val="none"/>
          <w:lang w:eastAsia="zh-CN"/>
        </w:rPr>
      </w:pPr>
      <w:r>
        <w:rPr>
          <w:rFonts w:hint="eastAsia" w:ascii="楷体_GB2312" w:hAnsi="楷体_GB2312" w:eastAsia="楷体_GB2312" w:cs="楷体_GB2312"/>
          <w:snapToGrid w:val="0"/>
          <w:color w:val="000000"/>
          <w:spacing w:val="0"/>
          <w:kern w:val="0"/>
          <w:position w:val="0"/>
          <w:sz w:val="32"/>
          <w:szCs w:val="32"/>
          <w:lang w:val="en-US" w:eastAsia="zh-CN" w:bidi="ar-SA"/>
        </w:rPr>
        <w:t>4.</w:t>
      </w:r>
      <w:r>
        <w:rPr>
          <w:rFonts w:hint="eastAsia" w:ascii="楷体_GB2312" w:hAnsi="楷体_GB2312" w:eastAsia="楷体_GB2312" w:cs="楷体_GB2312"/>
          <w:spacing w:val="0"/>
          <w:position w:val="0"/>
          <w:sz w:val="32"/>
          <w:szCs w:val="32"/>
        </w:rPr>
        <w:t>加强固体废物污染防治工作。</w:t>
      </w:r>
      <w:r>
        <w:rPr>
          <w:rFonts w:hint="eastAsia" w:ascii="仿宋_GB2312" w:hAnsi="仿宋_GB2312" w:eastAsia="仿宋_GB2312" w:cs="仿宋_GB2312"/>
          <w:color w:val="auto"/>
          <w:sz w:val="32"/>
          <w:szCs w:val="32"/>
        </w:rPr>
        <w:t>按“无害化、减量化、资源化”原则，做好固体废物的分类收集和利用</w:t>
      </w:r>
      <w:r>
        <w:rPr>
          <w:rFonts w:hint="eastAsia" w:ascii="仿宋_GB2312" w:hAnsi="仿宋_GB2312" w:eastAsia="仿宋_GB2312" w:cs="仿宋_GB2312"/>
          <w:color w:val="auto"/>
          <w:sz w:val="32"/>
          <w:szCs w:val="32"/>
          <w:lang w:val="en-US" w:eastAsia="zh-CN"/>
        </w:rPr>
        <w:t>处置</w:t>
      </w:r>
      <w:r>
        <w:rPr>
          <w:rFonts w:hint="eastAsia" w:ascii="仿宋_GB2312" w:hAnsi="仿宋_GB2312" w:eastAsia="仿宋_GB2312" w:cs="仿宋_GB2312"/>
          <w:color w:val="auto"/>
          <w:sz w:val="32"/>
          <w:szCs w:val="32"/>
        </w:rPr>
        <w:t>，建立固体废物产生、处置管理台账。项目</w:t>
      </w:r>
      <w:r>
        <w:rPr>
          <w:rFonts w:hint="eastAsia" w:ascii="仿宋_GB2312" w:hAnsi="仿宋_GB2312" w:eastAsia="仿宋_GB2312" w:cs="仿宋_GB2312"/>
          <w:color w:val="auto"/>
          <w:sz w:val="32"/>
          <w:szCs w:val="32"/>
          <w:lang w:val="en-US" w:eastAsia="zh-CN"/>
        </w:rPr>
        <w:t>产生的</w:t>
      </w:r>
      <w:r>
        <w:rPr>
          <w:rFonts w:hint="eastAsia" w:ascii="仿宋_GB2312" w:hAnsi="仿宋_GB2312" w:eastAsia="仿宋_GB2312" w:cs="仿宋_GB2312"/>
          <w:color w:val="auto"/>
          <w:sz w:val="32"/>
          <w:szCs w:val="32"/>
        </w:rPr>
        <w:t>废液</w:t>
      </w:r>
      <w:r>
        <w:rPr>
          <w:rFonts w:hint="eastAsia" w:ascii="仿宋_GB2312" w:hAnsi="仿宋_GB2312" w:eastAsia="仿宋_GB2312" w:cs="仿宋_GB2312"/>
          <w:color w:val="auto"/>
          <w:sz w:val="32"/>
          <w:szCs w:val="32"/>
          <w:lang w:eastAsia="zh-CN"/>
        </w:rPr>
        <w:t>、</w:t>
      </w:r>
      <w:r>
        <w:rPr>
          <w:rFonts w:hint="eastAsia" w:ascii="仿宋_GB2312" w:hAnsi="仿宋_GB2312" w:eastAsia="仿宋_GB2312" w:cs="仿宋_GB2312"/>
          <w:color w:val="auto"/>
          <w:sz w:val="32"/>
          <w:szCs w:val="32"/>
        </w:rPr>
        <w:t>废油</w:t>
      </w:r>
      <w:r>
        <w:rPr>
          <w:rFonts w:hint="eastAsia" w:ascii="仿宋_GB2312" w:hAnsi="仿宋_GB2312" w:eastAsia="仿宋_GB2312" w:cs="仿宋_GB2312"/>
          <w:color w:val="auto"/>
          <w:sz w:val="32"/>
          <w:szCs w:val="32"/>
          <w:lang w:eastAsia="zh-CN"/>
        </w:rPr>
        <w:t>、</w:t>
      </w:r>
      <w:r>
        <w:rPr>
          <w:rFonts w:hint="eastAsia" w:ascii="仿宋_GB2312" w:hAnsi="仿宋_GB2312" w:eastAsia="仿宋_GB2312" w:cs="仿宋_GB2312"/>
          <w:color w:val="auto"/>
          <w:sz w:val="32"/>
          <w:szCs w:val="32"/>
        </w:rPr>
        <w:t>废活性炭</w:t>
      </w:r>
      <w:r>
        <w:rPr>
          <w:rFonts w:hint="eastAsia" w:ascii="仿宋_GB2312" w:hAnsi="仿宋_GB2312" w:eastAsia="仿宋_GB2312" w:cs="仿宋_GB2312"/>
          <w:color w:val="auto"/>
          <w:sz w:val="32"/>
          <w:szCs w:val="32"/>
          <w:lang w:eastAsia="zh-CN"/>
        </w:rPr>
        <w:t>、</w:t>
      </w:r>
      <w:r>
        <w:rPr>
          <w:rFonts w:hint="eastAsia" w:ascii="仿宋_GB2312" w:hAnsi="仿宋_GB2312" w:eastAsia="仿宋_GB2312" w:cs="仿宋_GB2312"/>
          <w:color w:val="auto"/>
          <w:sz w:val="32"/>
          <w:szCs w:val="32"/>
        </w:rPr>
        <w:t>污泥</w:t>
      </w:r>
      <w:r>
        <w:rPr>
          <w:rFonts w:hint="eastAsia" w:ascii="仿宋_GB2312" w:hAnsi="仿宋_GB2312" w:eastAsia="仿宋_GB2312" w:cs="仿宋_GB2312"/>
          <w:color w:val="auto"/>
          <w:sz w:val="32"/>
          <w:szCs w:val="32"/>
          <w:lang w:eastAsia="zh-CN"/>
        </w:rPr>
        <w:t>、</w:t>
      </w:r>
      <w:r>
        <w:rPr>
          <w:rFonts w:hint="eastAsia" w:ascii="仿宋_GB2312" w:hAnsi="仿宋_GB2312" w:eastAsia="仿宋_GB2312" w:cs="仿宋_GB2312"/>
          <w:color w:val="auto"/>
          <w:sz w:val="32"/>
          <w:szCs w:val="32"/>
        </w:rPr>
        <w:t>废溶剂桶</w:t>
      </w:r>
      <w:r>
        <w:rPr>
          <w:rFonts w:hint="eastAsia" w:ascii="仿宋_GB2312" w:hAnsi="仿宋_GB2312" w:eastAsia="仿宋_GB2312" w:cs="仿宋_GB2312"/>
          <w:color w:val="auto"/>
          <w:sz w:val="32"/>
          <w:szCs w:val="32"/>
          <w:lang w:eastAsia="zh-CN"/>
        </w:rPr>
        <w:t>、</w:t>
      </w:r>
      <w:r>
        <w:rPr>
          <w:rFonts w:hint="eastAsia" w:ascii="仿宋_GB2312" w:hAnsi="仿宋_GB2312" w:eastAsia="仿宋_GB2312" w:cs="仿宋_GB2312"/>
          <w:color w:val="auto"/>
          <w:sz w:val="32"/>
          <w:szCs w:val="32"/>
        </w:rPr>
        <w:t>残渣</w:t>
      </w:r>
      <w:r>
        <w:rPr>
          <w:rFonts w:hint="eastAsia" w:ascii="仿宋_GB2312" w:hAnsi="仿宋_GB2312" w:eastAsia="仿宋_GB2312" w:cs="仿宋_GB2312"/>
          <w:color w:val="auto"/>
          <w:sz w:val="32"/>
          <w:szCs w:val="32"/>
          <w:lang w:eastAsia="zh-CN"/>
        </w:rPr>
        <w:t>、</w:t>
      </w:r>
      <w:r>
        <w:rPr>
          <w:rFonts w:hint="eastAsia" w:ascii="仿宋_GB2312" w:hAnsi="仿宋_GB2312" w:eastAsia="仿宋_GB2312" w:cs="仿宋_GB2312"/>
          <w:color w:val="auto"/>
          <w:sz w:val="32"/>
          <w:szCs w:val="32"/>
        </w:rPr>
        <w:t>废机油</w:t>
      </w:r>
      <w:r>
        <w:rPr>
          <w:rFonts w:hint="eastAsia" w:ascii="仿宋_GB2312" w:hAnsi="仿宋_GB2312" w:eastAsia="仿宋_GB2312" w:cs="仿宋_GB2312"/>
          <w:color w:val="auto"/>
          <w:sz w:val="32"/>
          <w:szCs w:val="32"/>
          <w:lang w:eastAsia="zh-CN"/>
        </w:rPr>
        <w:t>、</w:t>
      </w:r>
      <w:r>
        <w:rPr>
          <w:rFonts w:hint="eastAsia" w:ascii="仿宋_GB2312" w:hAnsi="仿宋_GB2312" w:eastAsia="仿宋_GB2312" w:cs="仿宋_GB2312"/>
          <w:color w:val="auto"/>
          <w:sz w:val="32"/>
          <w:szCs w:val="32"/>
        </w:rPr>
        <w:t>含油抹布</w:t>
      </w:r>
      <w:r>
        <w:rPr>
          <w:rFonts w:hint="eastAsia" w:ascii="仿宋_GB2312" w:hAnsi="仿宋_GB2312" w:eastAsia="仿宋_GB2312" w:cs="仿宋_GB2312"/>
          <w:color w:val="auto"/>
          <w:sz w:val="32"/>
          <w:szCs w:val="32"/>
          <w:lang w:eastAsia="zh-CN"/>
        </w:rPr>
        <w:t>、</w:t>
      </w:r>
      <w:r>
        <w:rPr>
          <w:rFonts w:hint="eastAsia" w:ascii="仿宋_GB2312" w:hAnsi="仿宋_GB2312" w:eastAsia="仿宋_GB2312" w:cs="仿宋_GB2312"/>
          <w:color w:val="auto"/>
          <w:sz w:val="32"/>
          <w:szCs w:val="32"/>
        </w:rPr>
        <w:t>废电瓶</w:t>
      </w:r>
      <w:r>
        <w:rPr>
          <w:rFonts w:hint="eastAsia" w:ascii="仿宋_GB2312" w:hAnsi="仿宋_GB2312" w:eastAsia="仿宋_GB2312" w:cs="仿宋_GB2312"/>
          <w:color w:val="auto"/>
          <w:sz w:val="32"/>
          <w:szCs w:val="32"/>
          <w:lang w:eastAsia="zh-CN"/>
        </w:rPr>
        <w:t>、</w:t>
      </w:r>
      <w:r>
        <w:rPr>
          <w:rFonts w:hint="eastAsia" w:ascii="仿宋_GB2312" w:hAnsi="仿宋_GB2312" w:eastAsia="仿宋_GB2312" w:cs="仿宋_GB2312"/>
          <w:color w:val="auto"/>
          <w:sz w:val="32"/>
          <w:szCs w:val="32"/>
        </w:rPr>
        <w:t>不合格化学品</w:t>
      </w:r>
      <w:r>
        <w:rPr>
          <w:rFonts w:hint="eastAsia" w:ascii="仿宋_GB2312" w:hAnsi="仿宋_GB2312" w:eastAsia="仿宋_GB2312" w:cs="仿宋_GB2312"/>
          <w:color w:val="auto"/>
          <w:sz w:val="32"/>
          <w:szCs w:val="32"/>
          <w:lang w:eastAsia="zh-CN"/>
        </w:rPr>
        <w:t>、</w:t>
      </w:r>
      <w:r>
        <w:rPr>
          <w:rFonts w:hint="eastAsia" w:ascii="仿宋_GB2312" w:hAnsi="仿宋_GB2312" w:eastAsia="仿宋_GB2312" w:cs="仿宋_GB2312"/>
          <w:color w:val="auto"/>
          <w:sz w:val="32"/>
          <w:szCs w:val="32"/>
        </w:rPr>
        <w:t>废油桶等属于危险废物，应严格按照《危险废物贮存污染控制标准》（GB18597-2023）要求合规储存</w:t>
      </w:r>
      <w:r>
        <w:rPr>
          <w:rFonts w:hint="eastAsia" w:ascii="仿宋_GB2312" w:hAnsi="仿宋_GB2312" w:eastAsia="仿宋_GB2312" w:cs="仿宋_GB2312"/>
          <w:color w:val="auto"/>
          <w:sz w:val="32"/>
          <w:szCs w:val="32"/>
          <w:highlight w:val="none"/>
        </w:rPr>
        <w:t>、建立健全管理台账，交由有资质单位安全处置，并执行转移联单制度</w:t>
      </w:r>
      <w:r>
        <w:rPr>
          <w:rFonts w:hint="eastAsia" w:ascii="仿宋_GB2312" w:hAnsi="仿宋_GB2312" w:eastAsia="仿宋_GB2312" w:cs="仿宋_GB2312"/>
          <w:color w:val="auto"/>
          <w:sz w:val="32"/>
          <w:szCs w:val="32"/>
          <w:highlight w:val="none"/>
          <w:lang w:eastAsia="zh-CN"/>
        </w:rPr>
        <w:t>。</w:t>
      </w:r>
      <w:r>
        <w:rPr>
          <w:rFonts w:hint="default" w:ascii="仿宋_GB2312" w:hAnsi="仿宋_GB2312" w:eastAsia="仿宋_GB2312" w:cs="仿宋_GB2312"/>
          <w:color w:val="auto"/>
          <w:sz w:val="32"/>
          <w:szCs w:val="32"/>
          <w:highlight w:val="none"/>
        </w:rPr>
        <w:t>焊渣</w:t>
      </w:r>
      <w:r>
        <w:rPr>
          <w:rFonts w:hint="eastAsia" w:ascii="仿宋_GB2312" w:hAnsi="仿宋_GB2312" w:eastAsia="仿宋_GB2312" w:cs="仿宋_GB2312"/>
          <w:color w:val="auto"/>
          <w:sz w:val="32"/>
          <w:szCs w:val="32"/>
          <w:highlight w:val="none"/>
          <w:lang w:eastAsia="zh-CN"/>
        </w:rPr>
        <w:t>、</w:t>
      </w:r>
      <w:r>
        <w:rPr>
          <w:rFonts w:hint="default" w:ascii="仿宋_GB2312" w:hAnsi="仿宋_GB2312" w:eastAsia="仿宋_GB2312" w:cs="仿宋_GB2312"/>
          <w:color w:val="auto"/>
          <w:sz w:val="32"/>
          <w:szCs w:val="32"/>
          <w:highlight w:val="none"/>
        </w:rPr>
        <w:t>废保温材料</w:t>
      </w:r>
      <w:r>
        <w:rPr>
          <w:rFonts w:hint="eastAsia" w:ascii="仿宋_GB2312" w:hAnsi="仿宋_GB2312" w:eastAsia="仿宋_GB2312" w:cs="仿宋_GB2312"/>
          <w:color w:val="auto"/>
          <w:sz w:val="32"/>
          <w:szCs w:val="32"/>
          <w:highlight w:val="none"/>
          <w:lang w:eastAsia="zh-CN"/>
        </w:rPr>
        <w:t>、</w:t>
      </w:r>
      <w:r>
        <w:rPr>
          <w:rFonts w:hint="default" w:ascii="仿宋_GB2312" w:hAnsi="仿宋_GB2312" w:eastAsia="仿宋_GB2312" w:cs="仿宋_GB2312"/>
          <w:color w:val="auto"/>
          <w:sz w:val="32"/>
          <w:szCs w:val="32"/>
          <w:highlight w:val="none"/>
        </w:rPr>
        <w:t>废零件</w:t>
      </w:r>
      <w:r>
        <w:rPr>
          <w:rFonts w:hint="eastAsia" w:ascii="仿宋_GB2312" w:hAnsi="仿宋_GB2312" w:eastAsia="仿宋_GB2312" w:cs="仿宋_GB2312"/>
          <w:color w:val="auto"/>
          <w:sz w:val="32"/>
          <w:szCs w:val="32"/>
          <w:highlight w:val="none"/>
          <w:lang w:val="en-US" w:eastAsia="zh-CN"/>
        </w:rPr>
        <w:t>等</w:t>
      </w:r>
      <w:r>
        <w:rPr>
          <w:rFonts w:hint="eastAsia" w:ascii="仿宋_GB2312" w:hAnsi="仿宋_GB2312" w:eastAsia="仿宋_GB2312" w:cs="仿宋_GB2312"/>
          <w:color w:val="auto"/>
          <w:sz w:val="32"/>
          <w:szCs w:val="32"/>
          <w:highlight w:val="none"/>
          <w:lang w:eastAsia="zh-CN"/>
        </w:rPr>
        <w:t>一般</w:t>
      </w:r>
      <w:r>
        <w:rPr>
          <w:rFonts w:hint="eastAsia" w:ascii="仿宋_GB2312" w:hAnsi="仿宋_GB2312" w:eastAsia="仿宋_GB2312" w:cs="仿宋_GB2312"/>
          <w:color w:val="auto"/>
          <w:sz w:val="32"/>
          <w:szCs w:val="32"/>
          <w:highlight w:val="none"/>
          <w:lang w:val="en-US" w:eastAsia="zh-CN"/>
        </w:rPr>
        <w:t>工业</w:t>
      </w:r>
      <w:r>
        <w:rPr>
          <w:rFonts w:hint="eastAsia" w:ascii="仿宋_GB2312" w:hAnsi="仿宋_GB2312" w:eastAsia="仿宋_GB2312" w:cs="仿宋_GB2312"/>
          <w:color w:val="auto"/>
          <w:sz w:val="32"/>
          <w:szCs w:val="32"/>
          <w:highlight w:val="none"/>
          <w:lang w:eastAsia="zh-CN"/>
        </w:rPr>
        <w:t>固体废物</w:t>
      </w:r>
      <w:r>
        <w:rPr>
          <w:rFonts w:hint="eastAsia" w:ascii="仿宋_GB2312" w:hAnsi="仿宋_GB2312" w:eastAsia="仿宋_GB2312" w:cs="仿宋_GB2312"/>
          <w:color w:val="auto"/>
          <w:sz w:val="32"/>
          <w:szCs w:val="32"/>
          <w:highlight w:val="none"/>
        </w:rPr>
        <w:t>须</w:t>
      </w:r>
      <w:r>
        <w:rPr>
          <w:rFonts w:hint="eastAsia" w:ascii="仿宋_GB2312" w:hAnsi="仿宋_GB2312" w:eastAsia="仿宋_GB2312" w:cs="仿宋_GB2312"/>
          <w:sz w:val="32"/>
          <w:szCs w:val="32"/>
          <w:highlight w:val="none"/>
          <w:lang w:eastAsia="zh-CN"/>
        </w:rPr>
        <w:t>按</w:t>
      </w:r>
      <w:r>
        <w:rPr>
          <w:rFonts w:hint="eastAsia" w:ascii="仿宋_GB2312" w:hAnsi="仿宋_GB2312" w:eastAsia="仿宋_GB2312" w:cs="仿宋_GB2312"/>
          <w:sz w:val="32"/>
          <w:szCs w:val="32"/>
          <w:highlight w:val="none"/>
        </w:rPr>
        <w:t>《一般工业固体废物贮存和填埋污染控制标准》（GB18599-2020）要求</w:t>
      </w:r>
      <w:r>
        <w:rPr>
          <w:rFonts w:hint="eastAsia" w:ascii="仿宋_GB2312" w:hAnsi="仿宋_GB2312" w:eastAsia="仿宋_GB2312" w:cs="仿宋_GB2312"/>
          <w:sz w:val="32"/>
          <w:szCs w:val="32"/>
          <w:highlight w:val="none"/>
          <w:lang w:eastAsia="zh-CN"/>
        </w:rPr>
        <w:t>安全贮存、</w:t>
      </w:r>
      <w:r>
        <w:rPr>
          <w:rFonts w:hint="eastAsia" w:ascii="仿宋_GB2312" w:hAnsi="仿宋_GB2312" w:eastAsia="仿宋_GB2312" w:cs="仿宋_GB2312"/>
          <w:sz w:val="32"/>
          <w:szCs w:val="32"/>
          <w:highlight w:val="none"/>
          <w:lang w:val="en-US" w:eastAsia="zh-CN"/>
        </w:rPr>
        <w:t>妥善处置。</w:t>
      </w:r>
      <w:r>
        <w:rPr>
          <w:rFonts w:hint="eastAsia" w:ascii="仿宋_GB2312" w:hAnsi="仿宋_GB2312" w:eastAsia="仿宋_GB2312" w:cs="仿宋_GB2312"/>
          <w:sz w:val="32"/>
          <w:szCs w:val="32"/>
          <w:highlight w:val="none"/>
        </w:rPr>
        <w:t>生活垃圾集中收集后由环卫部门定期清运、合理处置</w:t>
      </w:r>
      <w:r>
        <w:rPr>
          <w:rFonts w:hint="eastAsia" w:ascii="仿宋_GB2312" w:hAnsi="仿宋_GB2312" w:eastAsia="仿宋_GB2312" w:cs="仿宋_GB2312"/>
          <w:sz w:val="32"/>
          <w:szCs w:val="32"/>
          <w:highlight w:val="none"/>
          <w:lang w:eastAsia="zh-CN"/>
        </w:rPr>
        <w:t>。</w:t>
      </w:r>
    </w:p>
    <w:p w14:paraId="5784F7AD">
      <w:pPr>
        <w:pStyle w:val="3"/>
        <w:keepNext w:val="0"/>
        <w:keepLines w:val="0"/>
        <w:pageBreakBefore w:val="0"/>
        <w:widowControl w:val="0"/>
        <w:kinsoku/>
        <w:wordWrap/>
        <w:overflowPunct/>
        <w:topLinePunct w:val="0"/>
        <w:autoSpaceDE/>
        <w:autoSpaceDN/>
        <w:bidi w:val="0"/>
        <w:adjustRightInd w:val="0"/>
        <w:snapToGrid/>
        <w:spacing w:line="540" w:lineRule="exact"/>
        <w:ind w:left="0" w:right="0" w:firstLine="640" w:firstLineChars="200"/>
        <w:jc w:val="both"/>
        <w:textAlignment w:val="baseline"/>
        <w:rPr>
          <w:rFonts w:hint="eastAsia" w:ascii="仿宋_GB2312" w:hAnsi="仿宋_GB2312" w:eastAsia="仿宋_GB2312" w:cs="仿宋_GB2312"/>
          <w:spacing w:val="0"/>
          <w:position w:val="0"/>
          <w:sz w:val="32"/>
          <w:szCs w:val="32"/>
        </w:rPr>
      </w:pPr>
      <w:r>
        <w:rPr>
          <w:rFonts w:hint="eastAsia" w:ascii="楷体_GB2312" w:hAnsi="楷体_GB2312" w:eastAsia="楷体_GB2312" w:cs="楷体_GB2312"/>
          <w:spacing w:val="0"/>
          <w:position w:val="0"/>
          <w:sz w:val="32"/>
          <w:szCs w:val="32"/>
          <w:highlight w:val="none"/>
          <w:lang w:val="en-US" w:eastAsia="zh-CN"/>
        </w:rPr>
        <w:t>5</w:t>
      </w:r>
      <w:r>
        <w:rPr>
          <w:rFonts w:hint="eastAsia" w:ascii="楷体_GB2312" w:hAnsi="楷体_GB2312" w:eastAsia="楷体_GB2312" w:cs="楷体_GB2312"/>
          <w:spacing w:val="0"/>
          <w:position w:val="0"/>
          <w:sz w:val="32"/>
          <w:szCs w:val="32"/>
          <w:highlight w:val="none"/>
        </w:rPr>
        <w:t>.加强噪声污染防治工作。</w:t>
      </w:r>
      <w:r>
        <w:rPr>
          <w:rFonts w:hint="eastAsia" w:ascii="仿宋_GB2312" w:hAnsi="仿宋_GB2312" w:eastAsia="仿宋_GB2312" w:cs="仿宋_GB2312"/>
          <w:sz w:val="32"/>
          <w:szCs w:val="32"/>
          <w:highlight w:val="none"/>
        </w:rPr>
        <w:t>通过采用低噪声设备、合理</w:t>
      </w:r>
      <w:r>
        <w:rPr>
          <w:rFonts w:hint="eastAsia" w:ascii="仿宋_GB2312" w:hAnsi="仿宋_GB2312" w:eastAsia="仿宋_GB2312" w:cs="仿宋_GB2312"/>
          <w:sz w:val="32"/>
          <w:szCs w:val="32"/>
        </w:rPr>
        <w:t>布局</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pacing w:val="0"/>
          <w:position w:val="0"/>
          <w:sz w:val="32"/>
          <w:szCs w:val="32"/>
        </w:rPr>
        <w:t>采取减振、消声等降噪措施，</w:t>
      </w:r>
      <w:r>
        <w:rPr>
          <w:rFonts w:hint="eastAsia" w:ascii="仿宋_GB2312" w:hAnsi="仿宋_GB2312" w:eastAsia="仿宋_GB2312" w:cs="仿宋_GB2312"/>
          <w:kern w:val="2"/>
          <w:sz w:val="32"/>
          <w:szCs w:val="32"/>
          <w:lang w:val="en-US" w:eastAsia="zh-CN" w:bidi="ar-SA"/>
        </w:rPr>
        <w:t>确</w:t>
      </w:r>
      <w:r>
        <w:rPr>
          <w:rFonts w:hint="eastAsia" w:ascii="仿宋_GB2312" w:hAnsi="仿宋_GB2312" w:eastAsia="仿宋_GB2312" w:cs="仿宋_GB2312"/>
          <w:kern w:val="2"/>
          <w:sz w:val="32"/>
          <w:szCs w:val="32"/>
          <w:highlight w:val="none"/>
          <w:lang w:val="en-US" w:eastAsia="zh-CN" w:bidi="ar-SA"/>
        </w:rPr>
        <w:t>保厂界噪声达到《工业企业厂界环境噪声排放标准》（GB12348-2008）中3类标准要求。</w:t>
      </w:r>
    </w:p>
    <w:p w14:paraId="7FF9FDC8">
      <w:pPr>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rPr>
          <w:rFonts w:hint="eastAsia" w:ascii="仿宋_GB2312" w:hAnsi="仿宋_GB2312" w:eastAsia="仿宋_GB2312" w:cs="仿宋_GB2312"/>
          <w:spacing w:val="0"/>
          <w:position w:val="0"/>
          <w:sz w:val="32"/>
          <w:szCs w:val="32"/>
        </w:rPr>
      </w:pPr>
      <w:r>
        <w:rPr>
          <w:rFonts w:hint="eastAsia" w:ascii="楷体_GB2312" w:hAnsi="楷体_GB2312" w:eastAsia="楷体_GB2312" w:cs="楷体_GB2312"/>
          <w:spacing w:val="0"/>
          <w:position w:val="0"/>
          <w:sz w:val="32"/>
          <w:szCs w:val="32"/>
          <w:lang w:val="en-US" w:eastAsia="zh-CN"/>
        </w:rPr>
        <w:t>6</w:t>
      </w:r>
      <w:r>
        <w:rPr>
          <w:rFonts w:hint="eastAsia" w:ascii="楷体_GB2312" w:hAnsi="楷体_GB2312" w:eastAsia="楷体_GB2312" w:cs="楷体_GB2312"/>
          <w:spacing w:val="0"/>
          <w:position w:val="0"/>
          <w:sz w:val="32"/>
          <w:szCs w:val="32"/>
        </w:rPr>
        <w:t>.加强地下水污染防治工作。</w:t>
      </w:r>
      <w:r>
        <w:rPr>
          <w:rFonts w:hint="eastAsia" w:ascii="仿宋_GB2312" w:hAnsi="仿宋_GB2312" w:eastAsia="仿宋_GB2312" w:cs="仿宋_GB2312"/>
          <w:sz w:val="32"/>
          <w:szCs w:val="32"/>
          <w:lang w:val="en-US" w:eastAsia="zh-CN"/>
        </w:rPr>
        <w:t>按照“源头控制、分区防治、污染监控、应急响应”相结合的原则，制定并实施源头控制措施、分区防渗措施、污染监控计划、风险事故应急响应方案等，从源头上减少污染物的产生，防止地下水污染。同时，严格按照国家相关规范要求，对工艺、设备及防渗构建物采取相应措施，防止和降低污染物的跑、冒、滴、漏；根据分区防渗要求做好重点防腐防渗工作，强化管理，避免由于泄漏污染地下水。</w:t>
      </w:r>
    </w:p>
    <w:p w14:paraId="566698EC">
      <w:pPr>
        <w:pStyle w:val="3"/>
        <w:keepNext w:val="0"/>
        <w:keepLines w:val="0"/>
        <w:pageBreakBefore w:val="0"/>
        <w:widowControl w:val="0"/>
        <w:kinsoku/>
        <w:wordWrap/>
        <w:overflowPunct/>
        <w:topLinePunct w:val="0"/>
        <w:autoSpaceDE/>
        <w:autoSpaceDN/>
        <w:bidi w:val="0"/>
        <w:adjustRightInd w:val="0"/>
        <w:snapToGrid/>
        <w:spacing w:line="540" w:lineRule="exact"/>
        <w:ind w:left="0" w:right="0" w:firstLine="640" w:firstLineChars="200"/>
        <w:jc w:val="both"/>
        <w:textAlignment w:val="baseline"/>
        <w:rPr>
          <w:rFonts w:hint="eastAsia" w:ascii="仿宋_GB2312" w:hAnsi="仿宋_GB2312" w:eastAsia="仿宋_GB2312" w:cs="仿宋_GB2312"/>
          <w:spacing w:val="0"/>
          <w:position w:val="0"/>
          <w:sz w:val="32"/>
          <w:szCs w:val="32"/>
        </w:rPr>
      </w:pPr>
      <w:r>
        <w:rPr>
          <w:rFonts w:hint="eastAsia" w:ascii="楷体_GB2312" w:hAnsi="楷体_GB2312" w:eastAsia="楷体_GB2312" w:cs="楷体_GB2312"/>
          <w:spacing w:val="0"/>
          <w:position w:val="0"/>
          <w:sz w:val="32"/>
          <w:szCs w:val="32"/>
          <w:lang w:val="en-US" w:eastAsia="zh-CN"/>
        </w:rPr>
        <w:t>7</w:t>
      </w:r>
      <w:r>
        <w:rPr>
          <w:rFonts w:hint="eastAsia" w:ascii="楷体_GB2312" w:hAnsi="楷体_GB2312" w:eastAsia="楷体_GB2312" w:cs="楷体_GB2312"/>
          <w:spacing w:val="0"/>
          <w:position w:val="0"/>
          <w:sz w:val="32"/>
          <w:szCs w:val="32"/>
        </w:rPr>
        <w:t>.加强营运期风险防范。</w:t>
      </w:r>
      <w:r>
        <w:rPr>
          <w:rFonts w:hint="eastAsia" w:ascii="仿宋_GB2312" w:hAnsi="仿宋_GB2312" w:eastAsia="仿宋_GB2312" w:cs="仿宋_GB2312"/>
          <w:sz w:val="32"/>
          <w:szCs w:val="32"/>
          <w:lang w:val="en-US" w:eastAsia="zh-CN"/>
        </w:rPr>
        <w:t>严格落实报告表及环境风险专项评价中所提出的各项环境风险防范措施；按照《突发环境事件应急管理办法》编制突发环境事件应急预案，储备风险救助物资并组织演练，杜绝环境风险事故发生。</w:t>
      </w:r>
    </w:p>
    <w:p w14:paraId="65A804FC">
      <w:pPr>
        <w:pStyle w:val="3"/>
        <w:keepNext w:val="0"/>
        <w:keepLines w:val="0"/>
        <w:pageBreakBefore w:val="0"/>
        <w:widowControl w:val="0"/>
        <w:kinsoku/>
        <w:wordWrap/>
        <w:overflowPunct/>
        <w:topLinePunct w:val="0"/>
        <w:autoSpaceDE/>
        <w:autoSpaceDN/>
        <w:bidi w:val="0"/>
        <w:adjustRightInd w:val="0"/>
        <w:snapToGrid/>
        <w:spacing w:line="540" w:lineRule="exact"/>
        <w:ind w:left="0" w:right="0" w:firstLine="640" w:firstLineChars="200"/>
        <w:jc w:val="both"/>
        <w:textAlignment w:val="baseline"/>
        <w:rPr>
          <w:rFonts w:hint="eastAsia" w:ascii="仿宋_GB2312" w:hAnsi="仿宋_GB2312" w:eastAsia="仿宋_GB2312" w:cs="仿宋_GB2312"/>
          <w:spacing w:val="0"/>
          <w:position w:val="0"/>
          <w:sz w:val="32"/>
          <w:szCs w:val="32"/>
        </w:rPr>
      </w:pPr>
      <w:r>
        <w:rPr>
          <w:rFonts w:hint="eastAsia" w:ascii="楷体_GB2312" w:hAnsi="楷体_GB2312" w:eastAsia="楷体_GB2312" w:cs="楷体_GB2312"/>
          <w:spacing w:val="0"/>
          <w:position w:val="0"/>
          <w:sz w:val="32"/>
          <w:szCs w:val="32"/>
          <w:lang w:val="en-US" w:eastAsia="zh-CN"/>
        </w:rPr>
        <w:t>8</w:t>
      </w:r>
      <w:r>
        <w:rPr>
          <w:rFonts w:hint="eastAsia" w:ascii="楷体_GB2312" w:hAnsi="楷体_GB2312" w:eastAsia="楷体_GB2312" w:cs="楷体_GB2312"/>
          <w:spacing w:val="0"/>
          <w:position w:val="0"/>
          <w:sz w:val="32"/>
          <w:szCs w:val="32"/>
        </w:rPr>
        <w:t>.加强环境管理。</w:t>
      </w:r>
      <w:r>
        <w:rPr>
          <w:rFonts w:hint="eastAsia" w:ascii="仿宋_GB2312" w:hAnsi="仿宋_GB2312" w:eastAsia="仿宋_GB2312" w:cs="仿宋_GB2312"/>
          <w:spacing w:val="0"/>
          <w:position w:val="0"/>
          <w:sz w:val="32"/>
          <w:szCs w:val="32"/>
        </w:rPr>
        <w:t>建立健全污染防治设施运行</w:t>
      </w:r>
      <w:r>
        <w:rPr>
          <w:rFonts w:hint="eastAsia" w:ascii="仿宋_GB2312" w:hAnsi="仿宋_GB2312" w:eastAsia="仿宋_GB2312" w:cs="仿宋_GB2312"/>
          <w:spacing w:val="0"/>
          <w:position w:val="0"/>
          <w:sz w:val="32"/>
          <w:szCs w:val="32"/>
          <w:lang w:eastAsia="zh-CN"/>
        </w:rPr>
        <w:t>管理台账</w:t>
      </w:r>
      <w:r>
        <w:rPr>
          <w:rFonts w:hint="eastAsia" w:ascii="仿宋_GB2312" w:hAnsi="仿宋_GB2312" w:eastAsia="仿宋_GB2312" w:cs="仿宋_GB2312"/>
          <w:spacing w:val="0"/>
          <w:position w:val="0"/>
          <w:sz w:val="32"/>
          <w:szCs w:val="32"/>
        </w:rPr>
        <w:t>，</w:t>
      </w:r>
      <w:r>
        <w:rPr>
          <w:rFonts w:hint="eastAsia" w:ascii="仿宋_GB2312" w:hAnsi="仿宋_GB2312" w:eastAsia="仿宋_GB2312" w:cs="仿宋_GB2312"/>
          <w:spacing w:val="0"/>
          <w:position w:val="0"/>
          <w:sz w:val="32"/>
          <w:szCs w:val="32"/>
          <w:lang w:eastAsia="zh-CN"/>
        </w:rPr>
        <w:t>设立</w:t>
      </w:r>
      <w:r>
        <w:rPr>
          <w:rFonts w:hint="eastAsia" w:ascii="仿宋_GB2312" w:hAnsi="仿宋_GB2312" w:eastAsia="仿宋_GB2312" w:cs="仿宋_GB2312"/>
          <w:spacing w:val="0"/>
          <w:position w:val="0"/>
          <w:sz w:val="32"/>
          <w:szCs w:val="32"/>
        </w:rPr>
        <w:t>专门的环保机构及环保人员，确保各项污染防治设施的正常运行，各类污染物稳定达标排放。</w:t>
      </w:r>
      <w:bookmarkStart w:id="0" w:name="_GoBack"/>
      <w:bookmarkEnd w:id="0"/>
    </w:p>
    <w:p w14:paraId="1DFEE4E8">
      <w:pPr>
        <w:keepNext w:val="0"/>
        <w:keepLines w:val="0"/>
        <w:pageBreakBefore w:val="0"/>
        <w:wordWrap/>
        <w:overflowPunct/>
        <w:topLinePunct w:val="0"/>
        <w:bidi w:val="0"/>
        <w:spacing w:line="540" w:lineRule="exact"/>
        <w:ind w:firstLine="640" w:firstLineChars="200"/>
        <w:jc w:val="both"/>
        <w:rPr>
          <w:rFonts w:hint="eastAsia" w:ascii="仿宋_GB2312" w:hAnsi="仿宋_GB2312" w:eastAsia="仿宋_GB2312" w:cs="仿宋_GB2312"/>
          <w:spacing w:val="0"/>
          <w:position w:val="0"/>
          <w:sz w:val="32"/>
          <w:szCs w:val="32"/>
          <w:highlight w:val="red"/>
          <w:lang w:val="en-US" w:eastAsia="zh-CN"/>
        </w:rPr>
      </w:pPr>
      <w:r>
        <w:rPr>
          <w:rFonts w:hint="eastAsia" w:ascii="仿宋_GB2312" w:hAnsi="仿宋_GB2312" w:eastAsia="仿宋_GB2312" w:cs="仿宋_GB2312"/>
          <w:snapToGrid w:val="0"/>
          <w:color w:val="000000"/>
          <w:spacing w:val="0"/>
          <w:kern w:val="0"/>
          <w:position w:val="0"/>
          <w:sz w:val="32"/>
          <w:szCs w:val="32"/>
          <w:lang w:val="en-US" w:eastAsia="zh-CN" w:bidi="ar-SA"/>
        </w:rPr>
        <w:t>9.本项目污染物</w:t>
      </w:r>
      <w:r>
        <w:rPr>
          <w:rFonts w:hint="eastAsia" w:ascii="仿宋_GB2312" w:hAnsi="仿宋_GB2312" w:eastAsia="仿宋_GB2312" w:cs="仿宋_GB2312"/>
          <w:spacing w:val="0"/>
          <w:position w:val="0"/>
          <w:sz w:val="32"/>
          <w:szCs w:val="32"/>
          <w:lang w:val="en-US" w:eastAsia="zh-CN"/>
        </w:rPr>
        <w:t>排放总量控制指标为：</w:t>
      </w:r>
      <w:r>
        <w:rPr>
          <w:rFonts w:hint="eastAsia" w:ascii="仿宋_GB2312" w:hAnsi="仿宋_GB2312" w:eastAsia="仿宋_GB2312" w:cs="仿宋_GB2312"/>
          <w:sz w:val="32"/>
          <w:szCs w:val="32"/>
          <w:lang w:val="en-US" w:eastAsia="zh-CN"/>
        </w:rPr>
        <w:t>化学需氧量：</w:t>
      </w:r>
      <w:r>
        <w:rPr>
          <w:rFonts w:hint="default" w:ascii="仿宋_GB2312" w:hAnsi="仿宋_GB2312" w:eastAsia="仿宋_GB2312" w:cs="仿宋_GB2312"/>
          <w:sz w:val="32"/>
          <w:szCs w:val="32"/>
          <w:lang w:val="en-US" w:eastAsia="zh-CN"/>
        </w:rPr>
        <w:t>1.87</w:t>
      </w:r>
      <w:r>
        <w:rPr>
          <w:rFonts w:hint="eastAsia" w:ascii="仿宋_GB2312" w:hAnsi="仿宋_GB2312" w:eastAsia="仿宋_GB2312" w:cs="仿宋_GB2312"/>
          <w:sz w:val="32"/>
          <w:szCs w:val="32"/>
          <w:lang w:val="en-US" w:eastAsia="zh-CN"/>
        </w:rPr>
        <w:t>t/a，氨氮：</w:t>
      </w:r>
      <w:r>
        <w:rPr>
          <w:rFonts w:hint="default" w:ascii="仿宋_GB2312" w:hAnsi="仿宋_GB2312" w:eastAsia="仿宋_GB2312" w:cs="仿宋_GB2312"/>
          <w:sz w:val="32"/>
          <w:szCs w:val="32"/>
          <w:lang w:val="en-US" w:eastAsia="zh-CN"/>
        </w:rPr>
        <w:t>0.1</w:t>
      </w:r>
      <w:r>
        <w:rPr>
          <w:rFonts w:hint="eastAsia" w:ascii="仿宋_GB2312" w:hAnsi="仿宋_GB2312" w:eastAsia="仿宋_GB2312" w:cs="仿宋_GB2312"/>
          <w:sz w:val="32"/>
          <w:szCs w:val="32"/>
          <w:lang w:val="en-US" w:eastAsia="zh-CN"/>
        </w:rPr>
        <w:t>87t/a，VOCs：0.4535t/a。化学需氧量、氨氮总量控制指标通过排污权交易获取，VOCs暂无交易</w:t>
      </w:r>
      <w:r>
        <w:rPr>
          <w:rFonts w:hint="eastAsia" w:ascii="仿宋_GB2312" w:hAnsi="仿宋_GB2312" w:eastAsia="仿宋_GB2312" w:cs="仿宋_GB2312"/>
          <w:sz w:val="32"/>
          <w:szCs w:val="32"/>
        </w:rPr>
        <w:t>，</w:t>
      </w:r>
      <w:r>
        <w:rPr>
          <w:rFonts w:hint="eastAsia" w:ascii="仿宋_GB2312" w:hAnsi="仿宋_GB2312" w:eastAsia="仿宋_GB2312" w:cs="仿宋_GB2312"/>
          <w:sz w:val="32"/>
          <w:szCs w:val="32"/>
          <w:lang w:val="en-US" w:eastAsia="zh-CN"/>
        </w:rPr>
        <w:t>做好总量控制。</w:t>
      </w:r>
    </w:p>
    <w:p w14:paraId="4E14F56E">
      <w:pPr>
        <w:keepNext w:val="0"/>
        <w:keepLines w:val="0"/>
        <w:pageBreakBefore w:val="0"/>
        <w:widowControl w:val="0"/>
        <w:kinsoku/>
        <w:wordWrap/>
        <w:overflowPunct/>
        <w:topLinePunct w:val="0"/>
        <w:bidi w:val="0"/>
        <w:adjustRightInd w:val="0"/>
        <w:snapToGrid/>
        <w:spacing w:line="540" w:lineRule="exact"/>
        <w:ind w:firstLine="640" w:firstLineChars="200"/>
        <w:jc w:val="both"/>
        <w:textAlignment w:val="baseline"/>
        <w:rPr>
          <w:rFonts w:hint="eastAsia" w:ascii="仿宋_GB2312" w:hAnsi="仿宋_GB2312" w:eastAsia="仿宋_GB2312" w:cs="仿宋_GB2312"/>
          <w:color w:val="auto"/>
          <w:spacing w:val="0"/>
          <w:position w:val="0"/>
          <w:sz w:val="32"/>
          <w:szCs w:val="32"/>
        </w:rPr>
      </w:pPr>
      <w:r>
        <w:rPr>
          <w:rFonts w:hint="eastAsia" w:ascii="仿宋_GB2312" w:hAnsi="仿宋_GB2312" w:eastAsia="仿宋_GB2312" w:cs="仿宋_GB2312"/>
          <w:color w:val="auto"/>
          <w:spacing w:val="0"/>
          <w:position w:val="0"/>
          <w:sz w:val="32"/>
          <w:szCs w:val="32"/>
        </w:rPr>
        <w:t>三、你公司自收到本批复后，应在15个工作日内将批复及批准的环评报告文本送</w:t>
      </w:r>
      <w:r>
        <w:rPr>
          <w:rFonts w:hint="eastAsia" w:ascii="仿宋_GB2312" w:hAnsi="仿宋_GB2312" w:eastAsia="仿宋_GB2312" w:cs="仿宋_GB2312"/>
          <w:color w:val="auto"/>
          <w:spacing w:val="0"/>
          <w:position w:val="0"/>
          <w:sz w:val="32"/>
          <w:szCs w:val="32"/>
          <w:lang w:eastAsia="zh-CN"/>
        </w:rPr>
        <w:t>湖南安康友诚安全评价有限公司</w:t>
      </w:r>
      <w:r>
        <w:rPr>
          <w:rFonts w:hint="eastAsia" w:ascii="仿宋_GB2312" w:hAnsi="仿宋_GB2312" w:eastAsia="仿宋_GB2312" w:cs="仿宋_GB2312"/>
          <w:color w:val="auto"/>
          <w:spacing w:val="0"/>
          <w:position w:val="0"/>
          <w:sz w:val="32"/>
          <w:szCs w:val="32"/>
        </w:rPr>
        <w:t>。</w:t>
      </w:r>
    </w:p>
    <w:p w14:paraId="5E134EEF">
      <w:pPr>
        <w:keepNext w:val="0"/>
        <w:keepLines w:val="0"/>
        <w:pageBreakBefore w:val="0"/>
        <w:widowControl w:val="0"/>
        <w:kinsoku/>
        <w:wordWrap/>
        <w:overflowPunct/>
        <w:topLinePunct w:val="0"/>
        <w:bidi w:val="0"/>
        <w:adjustRightInd w:val="0"/>
        <w:snapToGrid/>
        <w:spacing w:line="540" w:lineRule="exact"/>
        <w:ind w:firstLine="640" w:firstLineChars="200"/>
        <w:jc w:val="both"/>
        <w:textAlignment w:val="baseline"/>
        <w:rPr>
          <w:rFonts w:hint="eastAsia" w:ascii="仿宋_GB2312" w:hAnsi="仿宋_GB2312" w:eastAsia="仿宋_GB2312" w:cs="仿宋_GB2312"/>
          <w:color w:val="auto"/>
          <w:spacing w:val="0"/>
          <w:position w:val="0"/>
          <w:sz w:val="32"/>
          <w:szCs w:val="32"/>
        </w:rPr>
      </w:pPr>
      <w:r>
        <w:rPr>
          <w:rFonts w:hint="eastAsia" w:ascii="仿宋_GB2312" w:hAnsi="仿宋_GB2312" w:eastAsia="仿宋_GB2312" w:cs="仿宋_GB2312"/>
          <w:color w:val="auto"/>
          <w:spacing w:val="0"/>
          <w:position w:val="0"/>
          <w:sz w:val="32"/>
          <w:szCs w:val="32"/>
        </w:rPr>
        <w:t>四、岳阳市生态环境保护综合行政执法支队云溪大队负责该项目的日常环境监管。</w:t>
      </w:r>
    </w:p>
    <w:p w14:paraId="0C21899C">
      <w:pPr>
        <w:keepNext w:val="0"/>
        <w:keepLines w:val="0"/>
        <w:pageBreakBefore w:val="0"/>
        <w:widowControl w:val="0"/>
        <w:kinsoku/>
        <w:wordWrap/>
        <w:overflowPunct/>
        <w:topLinePunct w:val="0"/>
        <w:autoSpaceDE/>
        <w:autoSpaceDN/>
        <w:bidi w:val="0"/>
        <w:adjustRightInd w:val="0"/>
        <w:snapToGrid w:val="0"/>
        <w:spacing w:line="540" w:lineRule="exact"/>
        <w:jc w:val="both"/>
        <w:textAlignment w:val="baseline"/>
        <w:rPr>
          <w:rFonts w:hint="eastAsia" w:ascii="仿宋_GB2312" w:hAnsi="仿宋_GB2312" w:eastAsia="仿宋_GB2312" w:cs="仿宋_GB2312"/>
          <w:spacing w:val="0"/>
          <w:position w:val="0"/>
          <w:sz w:val="32"/>
          <w:szCs w:val="32"/>
        </w:rPr>
      </w:pPr>
    </w:p>
    <w:p w14:paraId="322E20E9">
      <w:pPr>
        <w:pStyle w:val="2"/>
        <w:keepNext w:val="0"/>
        <w:keepLines w:val="0"/>
        <w:pageBreakBefore w:val="0"/>
        <w:widowControl w:val="0"/>
        <w:wordWrap/>
        <w:overflowPunct/>
        <w:topLinePunct w:val="0"/>
        <w:bidi w:val="0"/>
        <w:spacing w:line="540" w:lineRule="exact"/>
        <w:rPr>
          <w:rFonts w:hint="eastAsia"/>
        </w:rPr>
      </w:pPr>
    </w:p>
    <w:p w14:paraId="52AB7362">
      <w:pPr>
        <w:pStyle w:val="3"/>
        <w:keepNext w:val="0"/>
        <w:keepLines w:val="0"/>
        <w:pageBreakBefore w:val="0"/>
        <w:widowControl w:val="0"/>
        <w:kinsoku/>
        <w:wordWrap/>
        <w:overflowPunct/>
        <w:topLinePunct w:val="0"/>
        <w:autoSpaceDE/>
        <w:autoSpaceDN/>
        <w:bidi w:val="0"/>
        <w:adjustRightInd w:val="0"/>
        <w:snapToGrid w:val="0"/>
        <w:spacing w:line="540" w:lineRule="exact"/>
        <w:ind w:left="5102"/>
        <w:jc w:val="both"/>
        <w:textAlignment w:val="baseline"/>
        <w:rPr>
          <w:rFonts w:hint="eastAsia" w:ascii="仿宋_GB2312" w:hAnsi="仿宋_GB2312" w:eastAsia="仿宋_GB2312" w:cs="仿宋_GB2312"/>
          <w:snapToGrid w:val="0"/>
          <w:color w:val="auto"/>
          <w:spacing w:val="0"/>
          <w:kern w:val="0"/>
          <w:position w:val="0"/>
          <w:sz w:val="32"/>
          <w:szCs w:val="32"/>
          <w:lang w:val="en-US" w:eastAsia="zh-CN" w:bidi="ar-SA"/>
        </w:rPr>
      </w:pPr>
      <w:r>
        <w:rPr>
          <w:rFonts w:hint="eastAsia" w:ascii="仿宋_GB2312" w:hAnsi="仿宋_GB2312" w:eastAsia="仿宋_GB2312" w:cs="仿宋_GB2312"/>
          <w:snapToGrid w:val="0"/>
          <w:color w:val="auto"/>
          <w:spacing w:val="0"/>
          <w:kern w:val="0"/>
          <w:position w:val="0"/>
          <w:sz w:val="32"/>
          <w:szCs w:val="32"/>
          <w:lang w:val="en-US" w:eastAsia="en-US" w:bidi="ar-SA"/>
        </w:rPr>
        <w:t>岳阳市生态环境局</w:t>
      </w:r>
    </w:p>
    <w:p w14:paraId="44774002">
      <w:pPr>
        <w:pStyle w:val="3"/>
        <w:keepNext w:val="0"/>
        <w:keepLines w:val="0"/>
        <w:pageBreakBefore w:val="0"/>
        <w:widowControl w:val="0"/>
        <w:kinsoku/>
        <w:wordWrap/>
        <w:overflowPunct/>
        <w:topLinePunct w:val="0"/>
        <w:autoSpaceDE/>
        <w:autoSpaceDN/>
        <w:bidi w:val="0"/>
        <w:adjustRightInd w:val="0"/>
        <w:snapToGrid w:val="0"/>
        <w:spacing w:line="540" w:lineRule="exact"/>
        <w:ind w:left="5102"/>
        <w:jc w:val="both"/>
        <w:textAlignment w:val="baseline"/>
        <w:rPr>
          <w:rFonts w:hint="eastAsia" w:ascii="仿宋_GB2312" w:hAnsi="仿宋_GB2312" w:eastAsia="仿宋_GB2312" w:cs="仿宋_GB2312"/>
          <w:snapToGrid w:val="0"/>
          <w:color w:val="auto"/>
          <w:spacing w:val="0"/>
          <w:kern w:val="0"/>
          <w:position w:val="0"/>
          <w:sz w:val="32"/>
          <w:szCs w:val="32"/>
          <w:lang w:val="en-US" w:eastAsia="en-US" w:bidi="ar-SA"/>
        </w:rPr>
      </w:pPr>
      <w:r>
        <w:rPr>
          <w:rFonts w:hint="eastAsia" w:ascii="仿宋_GB2312" w:hAnsi="仿宋_GB2312" w:eastAsia="仿宋_GB2312" w:cs="仿宋_GB2312"/>
          <w:snapToGrid w:val="0"/>
          <w:color w:val="auto"/>
          <w:spacing w:val="0"/>
          <w:kern w:val="0"/>
          <w:position w:val="0"/>
          <w:sz w:val="32"/>
          <w:szCs w:val="32"/>
          <w:lang w:val="en-US" w:eastAsia="en-US" w:bidi="ar-SA"/>
        </w:rPr>
        <w:t>202</w:t>
      </w:r>
      <w:r>
        <w:rPr>
          <w:rFonts w:hint="eastAsia" w:ascii="仿宋_GB2312" w:hAnsi="仿宋_GB2312" w:eastAsia="仿宋_GB2312" w:cs="仿宋_GB2312"/>
          <w:snapToGrid w:val="0"/>
          <w:color w:val="auto"/>
          <w:spacing w:val="0"/>
          <w:kern w:val="0"/>
          <w:position w:val="0"/>
          <w:sz w:val="32"/>
          <w:szCs w:val="32"/>
          <w:lang w:val="en-US" w:eastAsia="zh-CN" w:bidi="ar-SA"/>
        </w:rPr>
        <w:t>5</w:t>
      </w:r>
      <w:r>
        <w:rPr>
          <w:rFonts w:hint="eastAsia" w:ascii="仿宋_GB2312" w:hAnsi="仿宋_GB2312" w:eastAsia="仿宋_GB2312" w:cs="仿宋_GB2312"/>
          <w:snapToGrid w:val="0"/>
          <w:color w:val="auto"/>
          <w:spacing w:val="0"/>
          <w:kern w:val="0"/>
          <w:position w:val="0"/>
          <w:sz w:val="32"/>
          <w:szCs w:val="32"/>
          <w:lang w:val="en-US" w:eastAsia="en-US" w:bidi="ar-SA"/>
        </w:rPr>
        <w:t>年</w:t>
      </w:r>
      <w:r>
        <w:rPr>
          <w:rFonts w:hint="eastAsia" w:ascii="仿宋_GB2312" w:hAnsi="仿宋_GB2312" w:eastAsia="仿宋_GB2312" w:cs="仿宋_GB2312"/>
          <w:snapToGrid w:val="0"/>
          <w:color w:val="auto"/>
          <w:spacing w:val="0"/>
          <w:kern w:val="0"/>
          <w:position w:val="0"/>
          <w:sz w:val="32"/>
          <w:szCs w:val="32"/>
          <w:lang w:val="en-US" w:eastAsia="zh-CN" w:bidi="ar-SA"/>
        </w:rPr>
        <w:t xml:space="preserve">8月  </w:t>
      </w:r>
      <w:r>
        <w:rPr>
          <w:rFonts w:hint="eastAsia" w:ascii="仿宋_GB2312" w:hAnsi="仿宋_GB2312" w:eastAsia="仿宋_GB2312" w:cs="仿宋_GB2312"/>
          <w:snapToGrid w:val="0"/>
          <w:color w:val="auto"/>
          <w:spacing w:val="0"/>
          <w:kern w:val="0"/>
          <w:position w:val="0"/>
          <w:sz w:val="32"/>
          <w:szCs w:val="32"/>
          <w:lang w:val="en-US" w:eastAsia="en-US" w:bidi="ar-SA"/>
        </w:rPr>
        <w:t>日</w:t>
      </w:r>
    </w:p>
    <w:sectPr>
      <w:pgSz w:w="11906" w:h="16839"/>
      <w:pgMar w:top="1431" w:right="1231" w:bottom="1429" w:left="1590" w:header="0" w:footer="0" w:gutter="0"/>
      <w:cols w:space="720" w:num="1"/>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0"/>
    <w:family w:val="auto"/>
    <w:pitch w:val="default"/>
    <w:sig w:usb0="E0002EFF" w:usb1="C000785B"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 w:name="楷体_GB2312">
    <w:panose1 w:val="02010609030101010101"/>
    <w:charset w:val="86"/>
    <w:family w:val="modern"/>
    <w:pitch w:val="default"/>
    <w:sig w:usb0="00000001" w:usb1="080E0000" w:usb2="00000000" w:usb3="00000000" w:csb0="00040000" w:csb1="00000000"/>
  </w:font>
  <w:font w:name="方正小标宋简体">
    <w:panose1 w:val="03000509000000000000"/>
    <w:charset w:val="86"/>
    <w:family w:val="script"/>
    <w:pitch w:val="default"/>
    <w:sig w:usb0="00000001" w:usb1="080E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240" w:lineRule="auto"/>
      </w:pPr>
      <w:r>
        <w:separator/>
      </w:r>
    </w:p>
  </w:footnote>
  <w:footnote w:type="continuationSeparator" w:id="1">
    <w:p>
      <w:pPr>
        <w:spacing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3D9A6F89"/>
    <w:multiLevelType w:val="singleLevel"/>
    <w:tmpl w:val="3D9A6F89"/>
    <w:lvl w:ilvl="0" w:tentative="0">
      <w:start w:val="3"/>
      <w:numFmt w:val="decimal"/>
      <w:lvlText w:val="%1."/>
      <w:lvlJc w:val="left"/>
      <w:pPr>
        <w:tabs>
          <w:tab w:val="left" w:pos="312"/>
        </w:tabs>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displayBackgroundShape w:val="1"/>
  <w:bordersDoNotSurroundHeader w:val="0"/>
  <w:bordersDoNotSurroundFooter w:val="0"/>
  <w:documentProtection w:enforcement="0"/>
  <w:displayHorizontalDrawingGridEvery w:val="1"/>
  <w:displayVerticalDrawingGridEvery w:val="1"/>
  <w:noPunctuationKerning w:val="1"/>
  <w:characterSpacingControl w:val="doNotCompress"/>
  <w:footnotePr>
    <w:footnote w:id="0"/>
    <w:footnote w:id="1"/>
  </w:footnotePr>
  <w:endnotePr>
    <w:endnote w:id="0"/>
    <w:endnote w:id="1"/>
  </w:endnotePr>
  <w:compat>
    <w:spaceForUL/>
    <w:ulTrailSpace/>
    <w:doNotExpandShiftReturn/>
    <w:doNotWrapTextWithPunct/>
    <w:doNotUseEastAsianBreakRules/>
    <w:useFELayout/>
    <w:doNotUseIndentAsNumberingTabStop/>
    <w:compatSetting w:name="compatibilityMode" w:uri="http://schemas.microsoft.com/office/word" w:val="14"/>
  </w:compat>
  <w:docVars>
    <w:docVar w:name="commondata" w:val="eyJoZGlkIjoiYzFhZGY0ZTViYWQyN2I0ZGJhNDk0OThkMjNkNmQ2MDYifQ=="/>
  </w:docVars>
  <w:rsids>
    <w:rsidRoot w:val="00000000"/>
    <w:rsid w:val="00AC3A9C"/>
    <w:rsid w:val="015F0F13"/>
    <w:rsid w:val="023E1BBB"/>
    <w:rsid w:val="04446C4A"/>
    <w:rsid w:val="084F532E"/>
    <w:rsid w:val="0A5209D5"/>
    <w:rsid w:val="0AF75A88"/>
    <w:rsid w:val="0F0627AA"/>
    <w:rsid w:val="0F0E0BA4"/>
    <w:rsid w:val="1D2C521F"/>
    <w:rsid w:val="1F5C0C50"/>
    <w:rsid w:val="219F1F4B"/>
    <w:rsid w:val="23E13416"/>
    <w:rsid w:val="26806BA4"/>
    <w:rsid w:val="2D1F3B32"/>
    <w:rsid w:val="2EB67ED5"/>
    <w:rsid w:val="34977058"/>
    <w:rsid w:val="34A67BB7"/>
    <w:rsid w:val="350E2077"/>
    <w:rsid w:val="360E11CF"/>
    <w:rsid w:val="37DA41AF"/>
    <w:rsid w:val="38AF51FA"/>
    <w:rsid w:val="3F947A15"/>
    <w:rsid w:val="4154398C"/>
    <w:rsid w:val="43BC665D"/>
    <w:rsid w:val="46E96CB4"/>
    <w:rsid w:val="4FCD1127"/>
    <w:rsid w:val="5355787D"/>
    <w:rsid w:val="54AA65FF"/>
    <w:rsid w:val="55424CD0"/>
    <w:rsid w:val="5B2A2BD4"/>
    <w:rsid w:val="5F447D5D"/>
    <w:rsid w:val="6C860F1A"/>
    <w:rsid w:val="6D1968B7"/>
    <w:rsid w:val="7A8329B1"/>
    <w:rsid w:val="7D16268A"/>
    <w:rsid w:val="7F2F0AA0"/>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name="Body Text"/>
    <w:lsdException w:qFormat="1"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99" w:semiHidden="0" w:name="Body Text First Indent"/>
    <w:lsdException w:qFormat="1" w:uiPriority="99"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autoRedefine/>
    <w:qFormat/>
    <w:uiPriority w:val="0"/>
    <w:pPr>
      <w:kinsoku w:val="0"/>
      <w:autoSpaceDE w:val="0"/>
      <w:autoSpaceDN w:val="0"/>
      <w:adjustRightInd w:val="0"/>
      <w:snapToGrid w:val="0"/>
      <w:spacing w:line="240" w:lineRule="auto"/>
      <w:jc w:val="left"/>
      <w:textAlignment w:val="baseline"/>
    </w:pPr>
    <w:rPr>
      <w:rFonts w:ascii="Arial" w:hAnsi="Arial" w:eastAsia="Arial" w:cs="Arial"/>
      <w:snapToGrid w:val="0"/>
      <w:color w:val="000000"/>
      <w:kern w:val="0"/>
      <w:sz w:val="21"/>
      <w:szCs w:val="21"/>
      <w:lang w:val="en-US" w:eastAsia="en-US" w:bidi="ar-SA"/>
    </w:rPr>
  </w:style>
  <w:style w:type="character" w:default="1" w:styleId="8">
    <w:name w:val="Default Paragraph Font"/>
    <w:semiHidden/>
    <w:qFormat/>
    <w:uiPriority w:val="0"/>
  </w:style>
  <w:style w:type="table" w:default="1" w:styleId="7">
    <w:name w:val="Normal Table"/>
    <w:semiHidden/>
    <w:unhideWhenUsed/>
    <w:qFormat/>
    <w:uiPriority w:val="99"/>
    <w:tblPr>
      <w:tblCellMar>
        <w:top w:w="0" w:type="dxa"/>
        <w:left w:w="108" w:type="dxa"/>
        <w:bottom w:w="0" w:type="dxa"/>
        <w:right w:w="108" w:type="dxa"/>
      </w:tblCellMar>
    </w:tblPr>
  </w:style>
  <w:style w:type="paragraph" w:styleId="2">
    <w:name w:val="Body Text First Indent"/>
    <w:basedOn w:val="3"/>
    <w:next w:val="1"/>
    <w:qFormat/>
    <w:uiPriority w:val="99"/>
    <w:pPr>
      <w:ind w:firstLine="420" w:firstLineChars="100"/>
    </w:pPr>
    <w:rPr>
      <w:rFonts w:hint="eastAsia" w:ascii="宋体" w:hAnsi="宋体"/>
      <w:sz w:val="24"/>
    </w:rPr>
  </w:style>
  <w:style w:type="paragraph" w:styleId="3">
    <w:name w:val="Body Text"/>
    <w:basedOn w:val="1"/>
    <w:next w:val="4"/>
    <w:autoRedefine/>
    <w:semiHidden/>
    <w:qFormat/>
    <w:uiPriority w:val="0"/>
    <w:rPr>
      <w:rFonts w:ascii="仿宋" w:hAnsi="仿宋" w:eastAsia="仿宋" w:cs="仿宋"/>
      <w:sz w:val="31"/>
      <w:szCs w:val="31"/>
      <w:lang w:val="en-US" w:eastAsia="en-US" w:bidi="ar-SA"/>
    </w:rPr>
  </w:style>
  <w:style w:type="paragraph" w:customStyle="1" w:styleId="4">
    <w:name w:val="xl27"/>
    <w:basedOn w:val="1"/>
    <w:next w:val="1"/>
    <w:qFormat/>
    <w:uiPriority w:val="0"/>
    <w:pPr>
      <w:pBdr>
        <w:bottom w:val="single" w:color="auto" w:sz="4" w:space="0"/>
        <w:right w:val="single" w:color="auto" w:sz="4" w:space="0"/>
      </w:pBdr>
      <w:spacing w:before="100" w:beforeAutospacing="1" w:after="100" w:afterAutospacing="1" w:line="240" w:lineRule="auto"/>
      <w:jc w:val="center"/>
    </w:pPr>
    <w:rPr>
      <w:kern w:val="0"/>
      <w:sz w:val="21"/>
      <w:szCs w:val="21"/>
    </w:rPr>
  </w:style>
  <w:style w:type="paragraph" w:styleId="5">
    <w:name w:val="Body Text Indent"/>
    <w:basedOn w:val="1"/>
    <w:next w:val="6"/>
    <w:unhideWhenUsed/>
    <w:qFormat/>
    <w:uiPriority w:val="0"/>
    <w:pPr>
      <w:snapToGrid/>
      <w:spacing w:after="120" w:line="276" w:lineRule="auto"/>
      <w:ind w:left="420" w:leftChars="200"/>
    </w:pPr>
    <w:rPr>
      <w:sz w:val="22"/>
    </w:rPr>
  </w:style>
  <w:style w:type="paragraph" w:styleId="6">
    <w:name w:val="Body Text First Indent 2"/>
    <w:basedOn w:val="5"/>
    <w:next w:val="1"/>
    <w:unhideWhenUsed/>
    <w:qFormat/>
    <w:uiPriority w:val="99"/>
    <w:pPr>
      <w:ind w:firstLine="420"/>
    </w:pPr>
  </w:style>
  <w:style w:type="table" w:customStyle="1" w:styleId="9">
    <w:name w:val="Table Normal"/>
    <w:autoRedefine/>
    <w:semiHidden/>
    <w:unhideWhenUsed/>
    <w:qFormat/>
    <w:uiPriority w:val="0"/>
    <w:tblPr>
      <w:tblCellMar>
        <w:top w:w="0" w:type="dxa"/>
        <w:left w:w="0" w:type="dxa"/>
        <w:bottom w:w="0" w:type="dxa"/>
        <w:right w:w="0" w:type="dxa"/>
      </w:tblCellMar>
    </w:tblPr>
  </w:style>
  <w:style w:type="paragraph" w:customStyle="1" w:styleId="10">
    <w:name w:val="正文首行缩进1"/>
    <w:basedOn w:val="3"/>
    <w:autoRedefine/>
    <w:qFormat/>
    <w:uiPriority w:val="0"/>
    <w:pPr>
      <w:ind w:firstLine="420" w:firstLineChars="100"/>
    </w:p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theme" Target="theme/theme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Pages>4</Pages>
  <Words>2305</Words>
  <Characters>2482</Characters>
  <TotalTime>3</TotalTime>
  <ScaleCrop>false</ScaleCrop>
  <LinksUpToDate>false</LinksUpToDate>
  <CharactersWithSpaces>2489</CharactersWithSpaces>
  <Application>WPS Office_12.1.0.22529_F1E327BC-269C-435d-A152-05C5408002CA</Applicat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2023-12-20T16:40:00Z</dcterms:created>
  <dc:creator>Administrator</dc:creator>
  <cp:lastModifiedBy>;-):-*乐</cp:lastModifiedBy>
  <dcterms:modified xsi:type="dcterms:W3CDTF">2025-08-15T08:25:45Z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O">
    <vt:lpwstr>wqlLaW5nc29mdCBQREYgdG8gV1BTIDkw</vt:lpwstr>
  </property>
  <property fmtid="{D5CDD505-2E9C-101B-9397-08002B2CF9AE}" pid="3" name="Created">
    <vt:filetime>2024-03-31T13:59:47Z</vt:filetime>
  </property>
  <property fmtid="{D5CDD505-2E9C-101B-9397-08002B2CF9AE}" pid="4" name="KSOProductBuildVer">
    <vt:lpwstr>2052-12.1.0.22529</vt:lpwstr>
  </property>
  <property fmtid="{D5CDD505-2E9C-101B-9397-08002B2CF9AE}" pid="5" name="ICV">
    <vt:lpwstr>E4A3E36D67C9423B8CAF9D76975F262B_13</vt:lpwstr>
  </property>
  <property fmtid="{D5CDD505-2E9C-101B-9397-08002B2CF9AE}" pid="6" name="KSOTemplateDocerSaveRecord">
    <vt:lpwstr>eyJoZGlkIjoiNWFhZGNiY2RjOTFmYzE5NTJhZDVmNzJkYzM5NjFlYTIiLCJ1c2VySWQiOiI3NTIwOTc2MzkifQ==</vt:lpwstr>
  </property>
</Properties>
</file>